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3" w:type="dxa"/>
        <w:tblInd w:w="-72" w:type="dxa"/>
        <w:tblLook w:val="01E0" w:firstRow="1" w:lastRow="1" w:firstColumn="1" w:lastColumn="1" w:noHBand="0" w:noVBand="0"/>
      </w:tblPr>
      <w:tblGrid>
        <w:gridCol w:w="4363"/>
        <w:gridCol w:w="5380"/>
      </w:tblGrid>
      <w:tr w:rsidR="00344E28" w:rsidRPr="000348A7" w:rsidTr="00F85797">
        <w:trPr>
          <w:trHeight w:val="1405"/>
        </w:trPr>
        <w:tc>
          <w:tcPr>
            <w:tcW w:w="4363" w:type="dxa"/>
            <w:shd w:val="clear" w:color="auto" w:fill="auto"/>
          </w:tcPr>
          <w:p w:rsidR="00344E28" w:rsidRPr="000348A7" w:rsidRDefault="00344E28" w:rsidP="00F85797">
            <w:pPr>
              <w:widowControl w:val="0"/>
              <w:tabs>
                <w:tab w:val="left" w:pos="561"/>
              </w:tabs>
              <w:jc w:val="center"/>
              <w:outlineLvl w:val="1"/>
              <w:rPr>
                <w:bCs/>
                <w:iCs/>
                <w:sz w:val="24"/>
                <w:szCs w:val="24"/>
              </w:rPr>
            </w:pPr>
            <w:r w:rsidRPr="000348A7">
              <w:rPr>
                <w:bCs/>
                <w:iCs/>
                <w:sz w:val="24"/>
                <w:szCs w:val="24"/>
              </w:rPr>
              <w:t>QUỐC HỘI KHÓA XV</w:t>
            </w:r>
          </w:p>
          <w:p w:rsidR="00344E28" w:rsidRPr="000348A7" w:rsidRDefault="00344E28" w:rsidP="00F85797">
            <w:pPr>
              <w:widowControl w:val="0"/>
              <w:tabs>
                <w:tab w:val="left" w:pos="561"/>
              </w:tabs>
              <w:jc w:val="center"/>
              <w:rPr>
                <w:b/>
                <w:sz w:val="24"/>
                <w:szCs w:val="24"/>
              </w:rPr>
            </w:pPr>
            <w:r w:rsidRPr="000348A7">
              <w:rPr>
                <w:b/>
                <w:sz w:val="24"/>
                <w:szCs w:val="24"/>
              </w:rPr>
              <w:t>ỦY BAN KHOA HỌC, CÔNG NGHỆ</w:t>
            </w:r>
          </w:p>
          <w:p w:rsidR="00344E28" w:rsidRPr="000348A7" w:rsidRDefault="00344E28" w:rsidP="00F85797">
            <w:pPr>
              <w:widowControl w:val="0"/>
              <w:tabs>
                <w:tab w:val="left" w:pos="561"/>
              </w:tabs>
              <w:jc w:val="center"/>
              <w:rPr>
                <w:b/>
                <w:sz w:val="24"/>
                <w:szCs w:val="24"/>
              </w:rPr>
            </w:pPr>
            <w:r w:rsidRPr="000348A7">
              <w:rPr>
                <w:b/>
                <w:sz w:val="24"/>
                <w:szCs w:val="24"/>
              </w:rPr>
              <w:t>VÀ MÔI TRƯỜNG</w:t>
            </w:r>
          </w:p>
          <w:p w:rsidR="00344E28" w:rsidRPr="000348A7" w:rsidRDefault="00344E28" w:rsidP="00F85797">
            <w:pPr>
              <w:widowControl w:val="0"/>
              <w:tabs>
                <w:tab w:val="left" w:pos="561"/>
              </w:tabs>
              <w:spacing w:before="8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669925</wp:posOffset>
                      </wp:positionH>
                      <wp:positionV relativeFrom="paragraph">
                        <wp:posOffset>29210</wp:posOffset>
                      </wp:positionV>
                      <wp:extent cx="1224280" cy="635"/>
                      <wp:effectExtent l="0" t="0" r="3302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635"/>
                              </a:xfrm>
                              <a:prstGeom prst="line">
                                <a:avLst/>
                              </a:prstGeom>
                              <a:noFill/>
                              <a:ln w="6350" cap="flat" cmpd="sng" algn="ctr">
                                <a:solidFill>
                                  <a:sysClr val="windowText" lastClr="000000"/>
                                </a:solidFill>
                                <a:prstDash val="solid"/>
                                <a:miter lim="800000"/>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183A134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3pt" to="149.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" strokecolor="windowText" strokeweight=".5pt">
                      <v:stroke startarrowwidth="narrow" startarrowlength="short" endarrowwidth="narrow" endarrowlength="short" joinstyle="miter"/>
                    </v:line>
                  </w:pict>
                </mc:Fallback>
              </mc:AlternateContent>
            </w:r>
          </w:p>
        </w:tc>
        <w:tc>
          <w:tcPr>
            <w:tcW w:w="5380" w:type="dxa"/>
            <w:shd w:val="clear" w:color="auto" w:fill="auto"/>
          </w:tcPr>
          <w:p w:rsidR="00344E28" w:rsidRPr="000348A7" w:rsidRDefault="00344E28" w:rsidP="00F85797">
            <w:pPr>
              <w:widowControl w:val="0"/>
              <w:tabs>
                <w:tab w:val="left" w:pos="561"/>
              </w:tabs>
              <w:jc w:val="both"/>
              <w:outlineLvl w:val="1"/>
              <w:rPr>
                <w:b/>
                <w:bCs/>
                <w:iCs/>
                <w:sz w:val="24"/>
              </w:rPr>
            </w:pPr>
            <w:r w:rsidRPr="000348A7">
              <w:rPr>
                <w:b/>
                <w:bCs/>
                <w:iCs/>
                <w:sz w:val="24"/>
              </w:rPr>
              <w:t>CỘNG HÒA XÃ HỘI CHỦ NGHĨA VIỆT NAM</w:t>
            </w:r>
          </w:p>
          <w:p w:rsidR="00344E28" w:rsidRPr="000348A7" w:rsidRDefault="00344E28" w:rsidP="00F85797">
            <w:pPr>
              <w:widowControl w:val="0"/>
              <w:tabs>
                <w:tab w:val="left" w:pos="561"/>
              </w:tabs>
              <w:ind w:firstLine="561"/>
              <w:jc w:val="both"/>
              <w:rPr>
                <w:b/>
                <w:sz w:val="26"/>
                <w:szCs w:val="26"/>
              </w:rPr>
            </w:pPr>
            <w:r w:rsidRPr="000348A7">
              <w:rPr>
                <w:b/>
              </w:rPr>
              <w:t xml:space="preserve">     </w:t>
            </w:r>
            <w:r w:rsidRPr="000348A7">
              <w:rPr>
                <w:b/>
                <w:szCs w:val="26"/>
              </w:rPr>
              <w:t>Độc lập – Tự do – Hạnh phúc</w:t>
            </w:r>
          </w:p>
          <w:p w:rsidR="00344E28" w:rsidRPr="000348A7" w:rsidRDefault="00344E28" w:rsidP="00F85797">
            <w:pPr>
              <w:widowControl w:val="0"/>
              <w:tabs>
                <w:tab w:val="left" w:pos="561"/>
              </w:tabs>
              <w:ind w:firstLine="561"/>
              <w:jc w:val="both"/>
              <w:rPr>
                <w:i/>
                <w:sz w:val="8"/>
                <w:szCs w:val="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584200</wp:posOffset>
                      </wp:positionH>
                      <wp:positionV relativeFrom="paragraph">
                        <wp:posOffset>33019</wp:posOffset>
                      </wp:positionV>
                      <wp:extent cx="22320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2025" cy="0"/>
                              </a:xfrm>
                              <a:prstGeom prst="line">
                                <a:avLst/>
                              </a:prstGeom>
                              <a:noFill/>
                              <a:ln w="6350" cap="flat" cmpd="sng" algn="ctr">
                                <a:solidFill>
                                  <a:sysClr val="windowText" lastClr="000000"/>
                                </a:solidFill>
                                <a:prstDash val="solid"/>
                                <a:miter lim="800000"/>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73622662"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2.6pt" to="221.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" strokecolor="windowText" strokeweight=".5pt">
                      <v:stroke startarrowwidth="narrow" startarrowlength="short" endarrowwidth="narrow" endarrowlength="short" joinstyle="miter"/>
                    </v:line>
                  </w:pict>
                </mc:Fallback>
              </mc:AlternateContent>
            </w:r>
          </w:p>
          <w:p w:rsidR="00344E28" w:rsidRPr="000348A7" w:rsidRDefault="00344E28" w:rsidP="00F85797">
            <w:pPr>
              <w:widowControl w:val="0"/>
              <w:tabs>
                <w:tab w:val="left" w:pos="561"/>
              </w:tabs>
              <w:spacing w:before="120"/>
              <w:ind w:firstLine="561"/>
            </w:pPr>
            <w:r w:rsidRPr="000348A7">
              <w:rPr>
                <w:i/>
              </w:rPr>
              <w:t>Hà Nội, ngày</w:t>
            </w:r>
            <w:r>
              <w:rPr>
                <w:i/>
              </w:rPr>
              <w:t xml:space="preserve"> 08 </w:t>
            </w:r>
            <w:r w:rsidRPr="000348A7">
              <w:rPr>
                <w:i/>
              </w:rPr>
              <w:t>tháng</w:t>
            </w:r>
            <w:r>
              <w:rPr>
                <w:i/>
              </w:rPr>
              <w:t xml:space="preserve"> 10 </w:t>
            </w:r>
            <w:r w:rsidRPr="000348A7">
              <w:rPr>
                <w:i/>
              </w:rPr>
              <w:t>năm 2024</w:t>
            </w:r>
          </w:p>
        </w:tc>
      </w:tr>
    </w:tbl>
    <w:p w:rsidR="00344E28" w:rsidRPr="000348A7" w:rsidRDefault="00344E28" w:rsidP="00344E28">
      <w:pPr>
        <w:widowControl w:val="0"/>
        <w:spacing w:before="120"/>
        <w:jc w:val="center"/>
        <w:rPr>
          <w:b/>
        </w:rPr>
      </w:pPr>
      <w:r w:rsidRPr="000348A7">
        <w:rPr>
          <w:b/>
        </w:rPr>
        <w:t>BÁO CÁO TÓM TẮT</w:t>
      </w:r>
    </w:p>
    <w:p w:rsidR="00344E28" w:rsidRPr="000348A7" w:rsidRDefault="00344E28" w:rsidP="00344E28">
      <w:pPr>
        <w:widowControl w:val="0"/>
        <w:jc w:val="center"/>
        <w:rPr>
          <w:b/>
        </w:rPr>
      </w:pPr>
      <w:r w:rsidRPr="000348A7">
        <w:rPr>
          <w:b/>
        </w:rPr>
        <w:t xml:space="preserve">Thẩm tra dự án Luật </w:t>
      </w:r>
      <w:r>
        <w:rPr>
          <w:b/>
        </w:rPr>
        <w:t>Hóa chất (sửa đổi)</w:t>
      </w:r>
    </w:p>
    <w:p w:rsidR="00344E28" w:rsidRPr="000348A7" w:rsidRDefault="00344E28" w:rsidP="00344E28">
      <w:pPr>
        <w:widowControl w:val="0"/>
        <w:spacing w:before="80"/>
        <w:jc w:val="cente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2228215</wp:posOffset>
                </wp:positionH>
                <wp:positionV relativeFrom="paragraph">
                  <wp:posOffset>48259</wp:posOffset>
                </wp:positionV>
                <wp:extent cx="13017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17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CD74BA"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45pt,3.8pt" to="27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" strokecolor="windowText" strokeweight=".5pt">
                <v:stroke joinstyle="miter"/>
                <o:lock v:ext="edit" shapetype="f"/>
              </v:line>
            </w:pict>
          </mc:Fallback>
        </mc:AlternateContent>
      </w:r>
    </w:p>
    <w:p w:rsidR="00344E28" w:rsidRPr="000348A7" w:rsidRDefault="00344E28" w:rsidP="00344E28">
      <w:pPr>
        <w:widowControl w:val="0"/>
        <w:spacing w:before="120" w:after="240"/>
        <w:jc w:val="center"/>
      </w:pPr>
      <w:r w:rsidRPr="000348A7">
        <w:rPr>
          <w:lang w:val="vi-VN"/>
        </w:rPr>
        <w:t xml:space="preserve">Kính gửi: </w:t>
      </w:r>
      <w:r>
        <w:t>Các vị đại biểu Quốc hội</w:t>
      </w:r>
    </w:p>
    <w:p w:rsidR="00344E28" w:rsidRPr="000348A7" w:rsidRDefault="00344E28" w:rsidP="00344E28">
      <w:pPr>
        <w:widowControl w:val="0"/>
        <w:spacing w:before="100" w:after="20"/>
        <w:ind w:firstLine="567"/>
        <w:jc w:val="both"/>
        <w:rPr>
          <w:b/>
          <w:sz w:val="26"/>
        </w:rPr>
      </w:pPr>
      <w:r w:rsidRPr="000348A7">
        <w:rPr>
          <w:bCs/>
          <w:spacing w:val="-1"/>
          <w:kern w:val="16"/>
        </w:rPr>
        <w:t>Ngày</w:t>
      </w:r>
      <w:r>
        <w:rPr>
          <w:bCs/>
          <w:spacing w:val="-1"/>
          <w:kern w:val="16"/>
        </w:rPr>
        <w:t xml:space="preserve"> 08/10/2024</w:t>
      </w:r>
      <w:r w:rsidRPr="000348A7">
        <w:rPr>
          <w:bCs/>
          <w:spacing w:val="-1"/>
          <w:kern w:val="16"/>
        </w:rPr>
        <w:t>, Ủy ban Khoa học, Công nghệ và Môi trường</w:t>
      </w:r>
      <w:r>
        <w:rPr>
          <w:bCs/>
          <w:spacing w:val="-1"/>
          <w:kern w:val="16"/>
        </w:rPr>
        <w:t xml:space="preserve"> của Quốc hội</w:t>
      </w:r>
      <w:r w:rsidRPr="000348A7">
        <w:rPr>
          <w:bCs/>
          <w:spacing w:val="-1"/>
          <w:kern w:val="16"/>
        </w:rPr>
        <w:t xml:space="preserve"> (</w:t>
      </w:r>
      <w:r w:rsidRPr="000348A7">
        <w:rPr>
          <w:spacing w:val="-1"/>
          <w:lang w:val="vi-VN"/>
        </w:rPr>
        <w:t>KH,CN&amp;MT</w:t>
      </w:r>
      <w:r w:rsidRPr="000348A7">
        <w:rPr>
          <w:spacing w:val="-1"/>
        </w:rPr>
        <w:t>)</w:t>
      </w:r>
      <w:r w:rsidRPr="000348A7">
        <w:rPr>
          <w:bCs/>
          <w:spacing w:val="-1"/>
          <w:kern w:val="16"/>
        </w:rPr>
        <w:t xml:space="preserve"> đã có Báo cáo đầy đủ số </w:t>
      </w:r>
      <w:r>
        <w:rPr>
          <w:bCs/>
          <w:spacing w:val="-1"/>
          <w:kern w:val="16"/>
        </w:rPr>
        <w:t>2929</w:t>
      </w:r>
      <w:r w:rsidRPr="000348A7">
        <w:rPr>
          <w:bCs/>
          <w:spacing w:val="-1"/>
          <w:kern w:val="16"/>
        </w:rPr>
        <w:t>/</w:t>
      </w:r>
      <w:r>
        <w:rPr>
          <w:bCs/>
          <w:spacing w:val="-1"/>
          <w:kern w:val="16"/>
        </w:rPr>
        <w:t>BC-</w:t>
      </w:r>
      <w:r w:rsidRPr="000348A7">
        <w:rPr>
          <w:bCs/>
          <w:spacing w:val="-1"/>
          <w:kern w:val="16"/>
        </w:rPr>
        <w:t xml:space="preserve">UBKHCNMT15 thẩm tra dự án Luật </w:t>
      </w:r>
      <w:r>
        <w:rPr>
          <w:bCs/>
          <w:spacing w:val="-1"/>
          <w:kern w:val="16"/>
        </w:rPr>
        <w:t>Hóa chất (sửa đổi)</w:t>
      </w:r>
      <w:r w:rsidRPr="000348A7">
        <w:rPr>
          <w:bCs/>
          <w:spacing w:val="-1"/>
          <w:kern w:val="16"/>
        </w:rPr>
        <w:t xml:space="preserve"> </w:t>
      </w:r>
      <w:r w:rsidRPr="009F007E">
        <w:rPr>
          <w:rFonts w:eastAsia="Batang"/>
          <w:lang w:val="pt-BR"/>
        </w:rPr>
        <w:t xml:space="preserve">theo Tờ trình </w:t>
      </w:r>
      <w:r w:rsidRPr="00484549">
        <w:rPr>
          <w:rFonts w:eastAsia="Batang"/>
          <w:lang w:val="pt-BR"/>
        </w:rPr>
        <w:t>số 371/TTr-CP ngày 30/7/2024</w:t>
      </w:r>
      <w:r w:rsidRPr="009F007E">
        <w:rPr>
          <w:rFonts w:eastAsia="Batang"/>
          <w:lang w:val="pt-BR"/>
        </w:rPr>
        <w:t xml:space="preserve"> của Chính phủ</w:t>
      </w:r>
      <w:r>
        <w:rPr>
          <w:rFonts w:eastAsia="Batang"/>
          <w:lang w:val="pt-BR"/>
        </w:rPr>
        <w:t xml:space="preserve">. </w:t>
      </w:r>
      <w:r w:rsidRPr="00DA585C">
        <w:rPr>
          <w:rFonts w:eastAsia="Batang"/>
          <w:lang w:val="nl-NL"/>
        </w:rPr>
        <w:t xml:space="preserve">Ủy ban KH,CN&amp;MT kính trình Quốc hội báo cáo </w:t>
      </w:r>
      <w:r>
        <w:rPr>
          <w:rFonts w:eastAsia="Batang"/>
          <w:lang w:val="nl-NL"/>
        </w:rPr>
        <w:t xml:space="preserve">tóm tắt </w:t>
      </w:r>
      <w:r w:rsidRPr="00DA585C">
        <w:rPr>
          <w:rFonts w:eastAsia="Batang"/>
          <w:lang w:val="nl-NL"/>
        </w:rPr>
        <w:t>như sau</w:t>
      </w:r>
      <w:r>
        <w:rPr>
          <w:rFonts w:eastAsia="Batang"/>
          <w:lang w:val="pt-BR"/>
        </w:rPr>
        <w:t>:</w:t>
      </w:r>
    </w:p>
    <w:p w:rsidR="00344E28" w:rsidRPr="00EF53BB" w:rsidRDefault="00344E28" w:rsidP="00344E28">
      <w:pPr>
        <w:widowControl w:val="0"/>
        <w:spacing w:before="100" w:after="20"/>
        <w:ind w:firstLine="567"/>
        <w:jc w:val="both"/>
        <w:rPr>
          <w:b/>
          <w:sz w:val="26"/>
          <w:szCs w:val="26"/>
        </w:rPr>
      </w:pPr>
      <w:r w:rsidRPr="00EF53BB">
        <w:rPr>
          <w:b/>
          <w:sz w:val="26"/>
          <w:szCs w:val="26"/>
        </w:rPr>
        <w:t>I. VỀ VẤN ĐỀ CHUNG</w:t>
      </w:r>
    </w:p>
    <w:p w:rsidR="00344E28" w:rsidRPr="00506F62" w:rsidRDefault="00344E28" w:rsidP="00344E28">
      <w:pPr>
        <w:widowControl w:val="0"/>
        <w:spacing w:before="100" w:after="20"/>
        <w:ind w:firstLine="567"/>
        <w:jc w:val="both"/>
        <w:rPr>
          <w:b/>
          <w:spacing w:val="6"/>
          <w:lang w:val="nl-NL"/>
        </w:rPr>
      </w:pPr>
      <w:r w:rsidRPr="00BA5BF0">
        <w:rPr>
          <w:rFonts w:eastAsia="Batang"/>
          <w:lang w:val="pt-BR"/>
        </w:rPr>
        <w:t xml:space="preserve">Ủy ban KH,CN&amp;MT cơ bản tán thành với sự cần thiết ban </w:t>
      </w:r>
      <w:r w:rsidRPr="00BA5BF0">
        <w:rPr>
          <w:rFonts w:eastAsia="Batang"/>
          <w:spacing w:val="4"/>
          <w:lang w:val="pt-BR"/>
        </w:rPr>
        <w:t>hành Luật Hóa chất (sửa đổi).</w:t>
      </w:r>
      <w:r w:rsidRPr="00BA5BF0">
        <w:rPr>
          <w:rFonts w:eastAsia="Batang"/>
          <w:lang w:val="pt-BR"/>
        </w:rPr>
        <w:t xml:space="preserve"> </w:t>
      </w:r>
      <w:r w:rsidRPr="00AA62C3">
        <w:rPr>
          <w:lang w:val="nl-NL"/>
        </w:rPr>
        <w:t>H</w:t>
      </w:r>
      <w:r w:rsidRPr="00AA62C3">
        <w:rPr>
          <w:lang w:val="pt-BR"/>
        </w:rPr>
        <w:t xml:space="preserve">ồ sơ dự án Luật </w:t>
      </w:r>
      <w:r w:rsidRPr="00AA62C3">
        <w:rPr>
          <w:b/>
          <w:i/>
          <w:color w:val="000000"/>
          <w:spacing w:val="3"/>
          <w:shd w:val="clear" w:color="auto" w:fill="FFFFFF"/>
        </w:rPr>
        <w:t xml:space="preserve">đã đủ điều kiện để trình Quốc hội xem xét, cho ý kiến tại Kỳ họp thứ 8 </w:t>
      </w:r>
      <w:r>
        <w:rPr>
          <w:b/>
          <w:i/>
          <w:color w:val="000000"/>
          <w:lang w:val="nl-NL"/>
        </w:rPr>
        <w:t>này</w:t>
      </w:r>
      <w:r w:rsidRPr="00AA62C3">
        <w:rPr>
          <w:b/>
          <w:i/>
          <w:color w:val="000000"/>
          <w:lang w:val="nl-NL"/>
        </w:rPr>
        <w:t>.</w:t>
      </w:r>
      <w:r>
        <w:rPr>
          <w:b/>
          <w:i/>
          <w:color w:val="000000"/>
          <w:lang w:val="nl-NL"/>
        </w:rPr>
        <w:t xml:space="preserve"> </w:t>
      </w:r>
      <w:r w:rsidRPr="00AA62C3">
        <w:rPr>
          <w:kern w:val="2"/>
          <w:lang w:val="pt-BR"/>
        </w:rPr>
        <w:t>Đ</w:t>
      </w:r>
      <w:r w:rsidRPr="00AA62C3">
        <w:rPr>
          <w:lang w:val="pt-BR"/>
        </w:rPr>
        <w:t xml:space="preserve">ề </w:t>
      </w:r>
      <w:r w:rsidRPr="00AA62C3">
        <w:rPr>
          <w:lang w:val="en-GB"/>
        </w:rPr>
        <w:t>nghị</w:t>
      </w:r>
      <w:r w:rsidRPr="00AA62C3">
        <w:rPr>
          <w:lang w:val="pt-BR"/>
        </w:rPr>
        <w:t xml:space="preserve"> Cơ quan chủ trì soạn thảo </w:t>
      </w:r>
      <w:r w:rsidRPr="00594D52">
        <w:rPr>
          <w:iCs/>
          <w:noProof/>
          <w:lang w:val="vi-VN"/>
        </w:rPr>
        <w:t xml:space="preserve">tiếp tục rà soát dự thảo </w:t>
      </w:r>
      <w:r w:rsidRPr="00594D52">
        <w:rPr>
          <w:iCs/>
          <w:lang w:val="vi-VN"/>
        </w:rPr>
        <w:t>Luật</w:t>
      </w:r>
      <w:r w:rsidRPr="00AA62C3">
        <w:rPr>
          <w:lang w:val="vi-VN"/>
        </w:rPr>
        <w:t xml:space="preserve"> với </w:t>
      </w:r>
      <w:r w:rsidRPr="00AA62C3">
        <w:t xml:space="preserve">các </w:t>
      </w:r>
      <w:r w:rsidRPr="00AA62C3">
        <w:rPr>
          <w:noProof/>
          <w:lang w:val="vi-VN"/>
        </w:rPr>
        <w:t>luật khác</w:t>
      </w:r>
      <w:r>
        <w:rPr>
          <w:noProof/>
        </w:rPr>
        <w:t xml:space="preserve">, </w:t>
      </w:r>
      <w:r w:rsidRPr="00AA62C3">
        <w:t>các điều ước quốc tế mà Việt Nam là thành viên</w:t>
      </w:r>
      <w:r>
        <w:t xml:space="preserve"> trong quá trình hoàn thiện dự thảo Luật. </w:t>
      </w:r>
      <w:r>
        <w:rPr>
          <w:spacing w:val="6"/>
          <w:lang w:val="en-GB"/>
        </w:rPr>
        <w:t xml:space="preserve"> </w:t>
      </w:r>
    </w:p>
    <w:p w:rsidR="00344E28" w:rsidRPr="00EF53BB" w:rsidRDefault="00344E28" w:rsidP="00344E28">
      <w:pPr>
        <w:pStyle w:val="BodyText"/>
        <w:spacing w:before="100" w:after="20"/>
        <w:rPr>
          <w:b/>
          <w:bCs/>
          <w:sz w:val="26"/>
          <w:szCs w:val="26"/>
        </w:rPr>
      </w:pPr>
      <w:r w:rsidRPr="00EF53BB">
        <w:rPr>
          <w:b/>
          <w:bCs/>
          <w:sz w:val="26"/>
          <w:szCs w:val="26"/>
          <w:lang w:val="en-US"/>
        </w:rPr>
        <w:t>II</w:t>
      </w:r>
      <w:r w:rsidRPr="00EF53BB">
        <w:rPr>
          <w:b/>
          <w:bCs/>
          <w:sz w:val="26"/>
          <w:szCs w:val="26"/>
        </w:rPr>
        <w:t>. </w:t>
      </w:r>
      <w:r w:rsidRPr="00EF53BB">
        <w:rPr>
          <w:b/>
          <w:bCs/>
          <w:sz w:val="26"/>
          <w:szCs w:val="26"/>
          <w:lang w:val="en-US"/>
        </w:rPr>
        <w:t>VỀ NỘI DUNG</w:t>
      </w:r>
      <w:r w:rsidRPr="00EF53BB">
        <w:rPr>
          <w:b/>
          <w:bCs/>
          <w:sz w:val="26"/>
          <w:szCs w:val="26"/>
        </w:rPr>
        <w:t xml:space="preserve"> CỤ THỂ </w:t>
      </w:r>
    </w:p>
    <w:p w:rsidR="00344E28" w:rsidRDefault="00344E28" w:rsidP="00344E28">
      <w:pPr>
        <w:pStyle w:val="n-dieund-p"/>
        <w:widowControl w:val="0"/>
        <w:numPr>
          <w:ilvl w:val="0"/>
          <w:numId w:val="1"/>
        </w:numPr>
        <w:tabs>
          <w:tab w:val="left" w:pos="851"/>
        </w:tabs>
        <w:spacing w:before="100" w:after="20"/>
        <w:ind w:left="0" w:firstLine="567"/>
        <w:rPr>
          <w:b/>
          <w:bCs/>
          <w:kern w:val="16"/>
          <w:sz w:val="28"/>
          <w:szCs w:val="28"/>
          <w:lang w:val="vi-VN"/>
        </w:rPr>
      </w:pPr>
      <w:r w:rsidRPr="009F007E">
        <w:rPr>
          <w:b/>
          <w:sz w:val="28"/>
          <w:szCs w:val="28"/>
          <w:lang w:val="vi-VN"/>
        </w:rPr>
        <w:t>Về quy định chung (Chương I)</w:t>
      </w:r>
    </w:p>
    <w:p w:rsidR="00344E28" w:rsidRPr="00EF53BB" w:rsidRDefault="00344E28" w:rsidP="00344E28">
      <w:pPr>
        <w:widowControl w:val="0"/>
        <w:spacing w:before="100" w:after="20"/>
        <w:ind w:firstLine="567"/>
        <w:jc w:val="both"/>
        <w:rPr>
          <w:rFonts w:ascii="Times New Roman Bold" w:hAnsi="Times New Roman Bold"/>
          <w:b/>
          <w:bCs/>
          <w:spacing w:val="-3"/>
        </w:rPr>
      </w:pPr>
      <w:r w:rsidRPr="0026512F">
        <w:rPr>
          <w:b/>
          <w:spacing w:val="-3"/>
        </w:rPr>
        <w:t xml:space="preserve">1.1. </w:t>
      </w:r>
      <w:r w:rsidRPr="0026512F">
        <w:rPr>
          <w:b/>
          <w:spacing w:val="-3"/>
          <w:lang w:val="vi-VN"/>
        </w:rPr>
        <w:t>Về</w:t>
      </w:r>
      <w:r w:rsidRPr="00EF53BB">
        <w:rPr>
          <w:rFonts w:ascii="Times New Roman Bold" w:hAnsi="Times New Roman Bold"/>
          <w:b/>
          <w:spacing w:val="-3"/>
          <w:lang w:val="vi-VN"/>
        </w:rPr>
        <w:t xml:space="preserve"> </w:t>
      </w:r>
      <w:r w:rsidRPr="0026512F">
        <w:rPr>
          <w:b/>
          <w:iCs/>
          <w:lang w:val="nl-NL"/>
        </w:rPr>
        <w:t>tên</w:t>
      </w:r>
      <w:r w:rsidRPr="00EF53BB">
        <w:rPr>
          <w:rFonts w:ascii="Times New Roman Bold" w:hAnsi="Times New Roman Bold"/>
          <w:b/>
          <w:spacing w:val="-3"/>
          <w:lang w:val="vi-VN"/>
        </w:rPr>
        <w:t xml:space="preserve"> gọi và phạm vi điều chỉnh (Điều 1)</w:t>
      </w:r>
      <w:r w:rsidRPr="00EF53BB">
        <w:rPr>
          <w:rFonts w:ascii="Times New Roman Bold" w:hAnsi="Times New Roman Bold"/>
          <w:b/>
          <w:spacing w:val="-3"/>
        </w:rPr>
        <w:t xml:space="preserve">, </w:t>
      </w:r>
      <w:r w:rsidRPr="00EF53BB">
        <w:rPr>
          <w:rFonts w:ascii="Times New Roman Bold" w:hAnsi="Times New Roman Bold"/>
          <w:b/>
          <w:bCs/>
          <w:spacing w:val="-3"/>
          <w:lang w:val="vi-VN"/>
        </w:rPr>
        <w:t xml:space="preserve">áp dụng </w:t>
      </w:r>
      <w:r w:rsidRPr="00EF53BB">
        <w:rPr>
          <w:rFonts w:ascii="Times New Roman Bold" w:hAnsi="Times New Roman Bold"/>
          <w:b/>
          <w:bCs/>
          <w:spacing w:val="-3"/>
        </w:rPr>
        <w:t>pháp luật</w:t>
      </w:r>
      <w:r w:rsidRPr="00EF53BB">
        <w:rPr>
          <w:rFonts w:ascii="Times New Roman Bold" w:hAnsi="Times New Roman Bold"/>
          <w:b/>
          <w:bCs/>
          <w:spacing w:val="-3"/>
          <w:lang w:val="vi-VN"/>
        </w:rPr>
        <w:t xml:space="preserve"> (Điều 3)</w:t>
      </w:r>
    </w:p>
    <w:p w:rsidR="00344E28" w:rsidRPr="00EF53BB" w:rsidRDefault="00344E28" w:rsidP="00344E28">
      <w:pPr>
        <w:widowControl w:val="0"/>
        <w:spacing w:before="100" w:after="20"/>
        <w:ind w:firstLine="567"/>
        <w:jc w:val="both"/>
        <w:rPr>
          <w:bCs/>
        </w:rPr>
      </w:pPr>
      <w:r w:rsidRPr="001D3712">
        <w:rPr>
          <w:bCs/>
        </w:rPr>
        <w:t xml:space="preserve">Ủy ban KH,CN&amp;MT </w:t>
      </w:r>
      <w:r w:rsidRPr="00EF53BB">
        <w:rPr>
          <w:b/>
          <w:bCs/>
          <w:i/>
        </w:rPr>
        <w:t>thống nhất với tên gọi là Luật Hóa chất (sửa đổi)</w:t>
      </w:r>
      <w:r>
        <w:rPr>
          <w:bCs/>
        </w:rPr>
        <w:t>;</w:t>
      </w:r>
      <w:r w:rsidRPr="001D3712">
        <w:rPr>
          <w:bCs/>
        </w:rPr>
        <w:t xml:space="preserve"> </w:t>
      </w:r>
      <w:r>
        <w:rPr>
          <w:bCs/>
        </w:rPr>
        <w:t xml:space="preserve">có ý kiến đề nghị đổi tên là </w:t>
      </w:r>
      <w:r w:rsidRPr="004B3F5C">
        <w:rPr>
          <w:i/>
          <w:iCs/>
          <w:color w:val="000000"/>
        </w:rPr>
        <w:t>Luật Công nghiệp hóa chất</w:t>
      </w:r>
      <w:r>
        <w:rPr>
          <w:color w:val="000000"/>
        </w:rPr>
        <w:t xml:space="preserve">. </w:t>
      </w:r>
      <w:r w:rsidRPr="0028382A">
        <w:rPr>
          <w:bCs/>
          <w:spacing w:val="-2"/>
        </w:rPr>
        <w:t>Đ</w:t>
      </w:r>
      <w:r w:rsidRPr="0028382A">
        <w:rPr>
          <w:bCs/>
          <w:spacing w:val="-2"/>
          <w:lang w:val="vi-VN"/>
        </w:rPr>
        <w:t xml:space="preserve">ề nghị </w:t>
      </w:r>
      <w:r w:rsidRPr="0028382A">
        <w:rPr>
          <w:bCs/>
          <w:spacing w:val="-2"/>
        </w:rPr>
        <w:t xml:space="preserve">rà soát phạm vi điều chỉnh để </w:t>
      </w:r>
      <w:r w:rsidRPr="0028382A">
        <w:rPr>
          <w:bCs/>
          <w:spacing w:val="-2"/>
          <w:lang w:val="vi-VN"/>
        </w:rPr>
        <w:t>không chồng chéo</w:t>
      </w:r>
      <w:r w:rsidRPr="0028382A">
        <w:rPr>
          <w:bCs/>
          <w:spacing w:val="-2"/>
        </w:rPr>
        <w:t xml:space="preserve"> </w:t>
      </w:r>
      <w:r w:rsidRPr="0028382A">
        <w:rPr>
          <w:bCs/>
          <w:spacing w:val="-2"/>
          <w:lang w:val="vi-VN"/>
        </w:rPr>
        <w:t xml:space="preserve">với </w:t>
      </w:r>
      <w:r w:rsidRPr="0028382A">
        <w:rPr>
          <w:bCs/>
          <w:spacing w:val="-2"/>
        </w:rPr>
        <w:t xml:space="preserve">một số </w:t>
      </w:r>
      <w:r w:rsidRPr="0028382A">
        <w:rPr>
          <w:bCs/>
          <w:spacing w:val="-2"/>
          <w:lang w:val="vi-VN"/>
        </w:rPr>
        <w:t xml:space="preserve">luật </w:t>
      </w:r>
      <w:r w:rsidRPr="0028382A">
        <w:rPr>
          <w:bCs/>
          <w:spacing w:val="-2"/>
        </w:rPr>
        <w:t>như Luật Khoa học và Công nghệ, Luật Năng lượng nguyên tử, Luật Quản lý ngoại thương</w:t>
      </w:r>
      <w:r w:rsidRPr="0028382A">
        <w:rPr>
          <w:iCs/>
          <w:spacing w:val="-2"/>
          <w:lang w:val="nl-NL"/>
        </w:rPr>
        <w:t>. C</w:t>
      </w:r>
      <w:r w:rsidRPr="0028382A">
        <w:rPr>
          <w:bCs/>
          <w:spacing w:val="-2"/>
        </w:rPr>
        <w:t>ó ý kiến đề nghị bỏ Điều 3</w:t>
      </w:r>
      <w:r w:rsidRPr="0028382A">
        <w:rPr>
          <w:iCs/>
          <w:spacing w:val="-2"/>
          <w:lang w:val="nl-NL"/>
        </w:rPr>
        <w:t>.</w:t>
      </w:r>
    </w:p>
    <w:p w:rsidR="00344E28" w:rsidRPr="00D450DB" w:rsidRDefault="00344E28" w:rsidP="00344E28">
      <w:pPr>
        <w:widowControl w:val="0"/>
        <w:spacing w:before="100" w:after="20"/>
        <w:ind w:firstLine="567"/>
        <w:jc w:val="both"/>
        <w:rPr>
          <w:b/>
          <w:bCs/>
        </w:rPr>
      </w:pPr>
      <w:r w:rsidRPr="00D450DB">
        <w:rPr>
          <w:b/>
          <w:iCs/>
          <w:lang w:val="nl-NL"/>
        </w:rPr>
        <w:t xml:space="preserve">1.2. </w:t>
      </w:r>
      <w:r>
        <w:rPr>
          <w:b/>
          <w:iCs/>
          <w:lang w:val="nl-NL"/>
        </w:rPr>
        <w:t>Về</w:t>
      </w:r>
      <w:r w:rsidRPr="00D450DB">
        <w:rPr>
          <w:b/>
          <w:iCs/>
          <w:lang w:val="nl-NL"/>
        </w:rPr>
        <w:t xml:space="preserve"> </w:t>
      </w:r>
      <w:r w:rsidRPr="00D450DB">
        <w:rPr>
          <w:b/>
          <w:bCs/>
        </w:rPr>
        <w:t>chính sách của Nhà nước trong lĩnh vực hóa chất (Điều 6)</w:t>
      </w:r>
    </w:p>
    <w:p w:rsidR="00344E28" w:rsidRPr="00D450DB" w:rsidRDefault="00344E28" w:rsidP="00344E28">
      <w:pPr>
        <w:widowControl w:val="0"/>
        <w:spacing w:before="100" w:after="20"/>
        <w:ind w:firstLine="567"/>
        <w:jc w:val="both"/>
      </w:pPr>
      <w:r>
        <w:t xml:space="preserve">- </w:t>
      </w:r>
      <w:r w:rsidRPr="009F007E">
        <w:t xml:space="preserve">Có ý kiến </w:t>
      </w:r>
      <w:r>
        <w:t>đ</w:t>
      </w:r>
      <w:r w:rsidRPr="009F007E">
        <w:t>ề nghị bổ sung khoản 1 để thể chế hóa Kết luận số 36-KL/TW</w:t>
      </w:r>
      <w:r>
        <w:t xml:space="preserve"> </w:t>
      </w:r>
      <w:r w:rsidRPr="009F007E">
        <w:t>của Bộ Chính trị</w:t>
      </w:r>
      <w:r>
        <w:rPr>
          <w:rStyle w:val="FootnoteReference"/>
        </w:rPr>
        <w:footnoteReference w:id="1"/>
      </w:r>
      <w:r>
        <w:t xml:space="preserve"> và</w:t>
      </w:r>
      <w:r w:rsidRPr="009F007E">
        <w:t xml:space="preserve"> bảo đảm tính tổng thể</w:t>
      </w:r>
      <w:r>
        <w:t xml:space="preserve"> </w:t>
      </w:r>
      <w:r w:rsidRPr="009F007E">
        <w:t xml:space="preserve">của chính sách từ phạm vi </w:t>
      </w:r>
      <w:r w:rsidRPr="009F007E">
        <w:rPr>
          <w:i/>
        </w:rPr>
        <w:t>cả nước</w:t>
      </w:r>
      <w:r w:rsidRPr="009F007E">
        <w:t xml:space="preserve"> đến các </w:t>
      </w:r>
      <w:r w:rsidRPr="009F007E">
        <w:rPr>
          <w:i/>
        </w:rPr>
        <w:t>vùng kinh tế</w:t>
      </w:r>
      <w:r w:rsidRPr="009F007E">
        <w:t xml:space="preserve"> và </w:t>
      </w:r>
      <w:r w:rsidRPr="009F007E">
        <w:rPr>
          <w:i/>
        </w:rPr>
        <w:t>từng địa phương</w:t>
      </w:r>
      <w:r w:rsidRPr="009F007E">
        <w:t>.</w:t>
      </w:r>
    </w:p>
    <w:p w:rsidR="00344E28" w:rsidRDefault="00344E28" w:rsidP="00344E28">
      <w:pPr>
        <w:spacing w:before="100" w:after="20"/>
        <w:ind w:firstLine="567"/>
        <w:jc w:val="both"/>
        <w:rPr>
          <w:bCs/>
          <w:lang w:val="nl-NL"/>
        </w:rPr>
      </w:pPr>
      <w:r w:rsidRPr="00EF53BB">
        <w:rPr>
          <w:spacing w:val="-2"/>
        </w:rPr>
        <w:t>-</w:t>
      </w:r>
      <w:r w:rsidRPr="00EF53BB">
        <w:rPr>
          <w:bCs/>
          <w:spacing w:val="-2"/>
          <w:lang w:val="nl-NL"/>
        </w:rPr>
        <w:t xml:space="preserve"> </w:t>
      </w:r>
      <w:r w:rsidRPr="00EF53BB">
        <w:rPr>
          <w:bCs/>
          <w:color w:val="000000"/>
          <w:spacing w:val="-2"/>
        </w:rPr>
        <w:t xml:space="preserve">Có ý kiến đề nghị </w:t>
      </w:r>
      <w:r w:rsidRPr="00012BE0">
        <w:rPr>
          <w:color w:val="000000"/>
          <w:spacing w:val="-2"/>
        </w:rPr>
        <w:t>làm rõ chính sách do Nhà nước ưu đãi và do Nhà nước đầu tư</w:t>
      </w:r>
      <w:r>
        <w:rPr>
          <w:color w:val="000000"/>
          <w:spacing w:val="-2"/>
        </w:rPr>
        <w:t xml:space="preserve">; </w:t>
      </w:r>
      <w:r w:rsidRPr="00EF53BB">
        <w:rPr>
          <w:bCs/>
          <w:spacing w:val="-2"/>
          <w:lang w:val="nl-NL"/>
        </w:rPr>
        <w:t xml:space="preserve">có chính sách đầu tư thích đáng, chọn lọc, trọng tâm, trọng điểm để phát triển công nghiệp hóa chất; </w:t>
      </w:r>
      <w:r w:rsidRPr="00EF53BB">
        <w:rPr>
          <w:bCs/>
          <w:color w:val="000000"/>
          <w:spacing w:val="-2"/>
        </w:rPr>
        <w:t xml:space="preserve">làm rõ </w:t>
      </w:r>
      <w:r w:rsidRPr="00EF53BB">
        <w:rPr>
          <w:spacing w:val="-2"/>
        </w:rPr>
        <w:t>tiêu chí cụ thể về quy mô nguồn vốn, tiến độ giải ngân quy định trong dự thảo Luật hoặc giao Chính phủ quy định.</w:t>
      </w:r>
      <w:r>
        <w:rPr>
          <w:spacing w:val="-2"/>
        </w:rPr>
        <w:t xml:space="preserve"> </w:t>
      </w:r>
      <w:r>
        <w:rPr>
          <w:rStyle w:val="normal-h"/>
          <w:spacing w:val="-2"/>
        </w:rPr>
        <w:t xml:space="preserve">Đề nghị </w:t>
      </w:r>
      <w:r w:rsidRPr="009B1DF0">
        <w:rPr>
          <w:rStyle w:val="normal-h"/>
          <w:spacing w:val="-2"/>
        </w:rPr>
        <w:t xml:space="preserve">nghiên cứu, </w:t>
      </w:r>
      <w:r w:rsidRPr="009F007E">
        <w:rPr>
          <w:bCs/>
          <w:lang w:val="nl-NL"/>
        </w:rPr>
        <w:t xml:space="preserve">bổ sung </w:t>
      </w:r>
      <w:r w:rsidRPr="00484549">
        <w:rPr>
          <w:bCs/>
          <w:lang w:val="nl-NL"/>
        </w:rPr>
        <w:t xml:space="preserve">quy định về </w:t>
      </w:r>
      <w:r w:rsidRPr="009C121F">
        <w:rPr>
          <w:bCs/>
          <w:lang w:val="nl-NL"/>
        </w:rPr>
        <w:t>đầu tư phát triển, đào tạo, tuyển dụng nguồn nhân lực</w:t>
      </w:r>
      <w:r w:rsidRPr="00484549">
        <w:rPr>
          <w:bCs/>
          <w:lang w:val="nl-NL"/>
        </w:rPr>
        <w:t xml:space="preserve"> chuyên môn cao;</w:t>
      </w:r>
      <w:r>
        <w:rPr>
          <w:bCs/>
          <w:lang w:val="nl-NL"/>
        </w:rPr>
        <w:t xml:space="preserve"> </w:t>
      </w:r>
      <w:r w:rsidRPr="00484549">
        <w:rPr>
          <w:bCs/>
          <w:lang w:val="nl-NL"/>
        </w:rPr>
        <w:t xml:space="preserve">khuyến khích đầu tư nghiên cứu, ứng dụng </w:t>
      </w:r>
      <w:r>
        <w:rPr>
          <w:bCs/>
          <w:lang w:val="nl-NL"/>
        </w:rPr>
        <w:t>các</w:t>
      </w:r>
      <w:r w:rsidRPr="00484549">
        <w:rPr>
          <w:bCs/>
          <w:lang w:val="nl-NL"/>
        </w:rPr>
        <w:t xml:space="preserve"> loại hóa chất ít độc hại cho môi trường và sức khỏe con người, hướng tới tăng trưởng xanh và kinh tế tuần hoàn</w:t>
      </w:r>
      <w:r>
        <w:rPr>
          <w:bCs/>
          <w:lang w:val="nl-NL"/>
        </w:rPr>
        <w:t>;</w:t>
      </w:r>
      <w:r w:rsidRPr="0064710D">
        <w:rPr>
          <w:bCs/>
          <w:lang w:val="nl-NL"/>
        </w:rPr>
        <w:t xml:space="preserve"> </w:t>
      </w:r>
      <w:r w:rsidRPr="004B3F5C">
        <w:rPr>
          <w:color w:val="000000"/>
          <w:spacing w:val="-2"/>
        </w:rPr>
        <w:t>thúc đẩy sử dụng thuốc bảo vệ thực vật sinh học</w:t>
      </w:r>
      <w:r w:rsidRPr="00484549">
        <w:rPr>
          <w:bCs/>
          <w:lang w:val="nl-NL"/>
        </w:rPr>
        <w:t>.</w:t>
      </w:r>
      <w:r w:rsidRPr="009F007E">
        <w:rPr>
          <w:bCs/>
          <w:lang w:val="nl-NL"/>
        </w:rPr>
        <w:t xml:space="preserve"> </w:t>
      </w:r>
    </w:p>
    <w:p w:rsidR="00344E28" w:rsidRDefault="00344E28" w:rsidP="00344E28">
      <w:pPr>
        <w:widowControl w:val="0"/>
        <w:spacing w:before="100" w:after="20"/>
        <w:ind w:firstLine="567"/>
        <w:jc w:val="both"/>
        <w:rPr>
          <w:b/>
          <w:bCs/>
          <w:color w:val="000000"/>
        </w:rPr>
      </w:pPr>
      <w:r w:rsidRPr="009F007E">
        <w:rPr>
          <w:b/>
          <w:bCs/>
          <w:color w:val="000000"/>
        </w:rPr>
        <w:lastRenderedPageBreak/>
        <w:t>2. Về phát triển công nghiệp hóa chất (Chương II)</w:t>
      </w:r>
    </w:p>
    <w:p w:rsidR="00344E28" w:rsidRPr="0064710D" w:rsidRDefault="00344E28" w:rsidP="00344E28">
      <w:pPr>
        <w:widowControl w:val="0"/>
        <w:spacing w:before="100" w:after="20"/>
        <w:ind w:firstLine="567"/>
        <w:jc w:val="both"/>
        <w:rPr>
          <w:bCs/>
          <w:color w:val="000000"/>
        </w:rPr>
      </w:pPr>
      <w:r>
        <w:rPr>
          <w:bCs/>
          <w:color w:val="000000"/>
        </w:rPr>
        <w:t>Có ý kiến cho rằng, dự thảo Luật chỉ có 06 Điều là chưa đầy đủ để phát triển ngành công nghiệp hóa chất, đề nghị nghiên cứu, bổ sung các nội dung về: (i) Đầu tư hạ tầng kỹ thuật; (ii) Thương mại và thị trường; (iii) Nguyên liệu, sản phẩm, dịch vụ; (iv) Nhân lực khoa học và công nghệ; (v) Nâng cao năng lực cạnh tranh.</w:t>
      </w:r>
    </w:p>
    <w:p w:rsidR="00344E28" w:rsidRPr="009F007E" w:rsidRDefault="00344E28" w:rsidP="00344E28">
      <w:pPr>
        <w:widowControl w:val="0"/>
        <w:spacing w:before="100" w:after="20"/>
        <w:ind w:firstLine="567"/>
        <w:jc w:val="both"/>
        <w:rPr>
          <w:b/>
          <w:bCs/>
          <w:color w:val="000000"/>
        </w:rPr>
      </w:pPr>
      <w:r w:rsidRPr="009F007E">
        <w:rPr>
          <w:b/>
          <w:bCs/>
          <w:color w:val="000000"/>
        </w:rPr>
        <w:t xml:space="preserve">2.1. Về Chiến lược phát triển công nghiệp hóa chất (Điều 9) và </w:t>
      </w:r>
      <w:r>
        <w:rPr>
          <w:b/>
        </w:rPr>
        <w:t>t</w:t>
      </w:r>
      <w:r w:rsidRPr="009F007E">
        <w:rPr>
          <w:b/>
        </w:rPr>
        <w:t>rách nhiệm xây dựng, tổ chức thực hiện chiến lược phát triển ngành công nghiệp hóa chất (Điều 10)</w:t>
      </w:r>
    </w:p>
    <w:p w:rsidR="00344E28" w:rsidRPr="00484549" w:rsidRDefault="00344E28" w:rsidP="00344E28">
      <w:pPr>
        <w:widowControl w:val="0"/>
        <w:spacing w:before="100" w:after="20"/>
        <w:ind w:firstLine="567"/>
        <w:jc w:val="both"/>
        <w:rPr>
          <w:bCs/>
          <w:color w:val="000000"/>
          <w:spacing w:val="-2"/>
        </w:rPr>
      </w:pPr>
      <w:r>
        <w:rPr>
          <w:iCs/>
          <w:color w:val="000000"/>
        </w:rPr>
        <w:t>- Đ</w:t>
      </w:r>
      <w:r w:rsidRPr="00484549">
        <w:rPr>
          <w:color w:val="000000"/>
        </w:rPr>
        <w:t xml:space="preserve">ề nghị làm rõ tính tương đồng giữa </w:t>
      </w:r>
      <w:r w:rsidRPr="00484549">
        <w:rPr>
          <w:i/>
          <w:color w:val="000000"/>
        </w:rPr>
        <w:t>quy hoạch tỉnh</w:t>
      </w:r>
      <w:r w:rsidRPr="00484549">
        <w:rPr>
          <w:color w:val="000000"/>
        </w:rPr>
        <w:t xml:space="preserve"> và </w:t>
      </w:r>
      <w:r w:rsidRPr="00484549">
        <w:rPr>
          <w:i/>
          <w:iCs/>
          <w:color w:val="000000"/>
        </w:rPr>
        <w:t>quy hoạch không gian của các địa phương, vùng lãnh thổ</w:t>
      </w:r>
      <w:r w:rsidRPr="00484549">
        <w:rPr>
          <w:iCs/>
          <w:color w:val="000000"/>
        </w:rPr>
        <w:t>;</w:t>
      </w:r>
      <w:r w:rsidRPr="00484549">
        <w:rPr>
          <w:color w:val="000000"/>
        </w:rPr>
        <w:t xml:space="preserve"> nội dung định hướng của chiến lược phát triển ngành công nghiệp hóa chất; mối quan hệ giữa chiến lược phát triển ngành công nghiệp hóa chất với hệ thống quy hoạch quốc gia; nội dung phát triển ngành công nghiệp hóa chất trên địa bàn tỉnh</w:t>
      </w:r>
      <w:r>
        <w:rPr>
          <w:color w:val="000000"/>
        </w:rPr>
        <w:t>.</w:t>
      </w:r>
    </w:p>
    <w:p w:rsidR="00344E28" w:rsidRPr="00484549" w:rsidRDefault="00344E28" w:rsidP="00344E28">
      <w:pPr>
        <w:widowControl w:val="0"/>
        <w:spacing w:before="100" w:after="20"/>
        <w:ind w:firstLine="567"/>
        <w:jc w:val="both"/>
        <w:rPr>
          <w:bCs/>
          <w:color w:val="000000"/>
          <w:spacing w:val="-2"/>
        </w:rPr>
      </w:pPr>
      <w:r w:rsidRPr="00484549">
        <w:rPr>
          <w:bCs/>
          <w:color w:val="000000"/>
          <w:spacing w:val="-2"/>
        </w:rPr>
        <w:t>-</w:t>
      </w:r>
      <w:r w:rsidRPr="009F007E">
        <w:rPr>
          <w:bCs/>
          <w:color w:val="000000"/>
          <w:spacing w:val="-2"/>
        </w:rPr>
        <w:t xml:space="preserve"> </w:t>
      </w:r>
      <w:r>
        <w:rPr>
          <w:bCs/>
          <w:color w:val="000000"/>
          <w:spacing w:val="-2"/>
        </w:rPr>
        <w:t xml:space="preserve">Có </w:t>
      </w:r>
      <w:r w:rsidRPr="00484549">
        <w:rPr>
          <w:bCs/>
          <w:color w:val="000000"/>
          <w:spacing w:val="-2"/>
        </w:rPr>
        <w:t xml:space="preserve">ý kiến </w:t>
      </w:r>
      <w:r>
        <w:rPr>
          <w:color w:val="000000"/>
        </w:rPr>
        <w:t>đ</w:t>
      </w:r>
      <w:r w:rsidRPr="00484549">
        <w:rPr>
          <w:color w:val="000000"/>
        </w:rPr>
        <w:t>ề nghị rà soát bảo đảm sự đồng bộ về thời kỳ giữa chiến lược phát triển ngành công nghiệp hóa chất với hệ thống quy hoạch</w:t>
      </w:r>
      <w:r>
        <w:rPr>
          <w:color w:val="000000"/>
        </w:rPr>
        <w:t>.</w:t>
      </w:r>
    </w:p>
    <w:p w:rsidR="00344E28" w:rsidRPr="009F007E" w:rsidRDefault="00344E28" w:rsidP="00344E28">
      <w:pPr>
        <w:widowControl w:val="0"/>
        <w:spacing w:before="100" w:after="20"/>
        <w:ind w:firstLine="567"/>
        <w:jc w:val="both"/>
        <w:rPr>
          <w:b/>
          <w:bCs/>
          <w:i/>
          <w:color w:val="000000"/>
        </w:rPr>
      </w:pPr>
      <w:r w:rsidRPr="009F007E">
        <w:rPr>
          <w:b/>
          <w:bCs/>
        </w:rPr>
        <w:t>2.2. Về dự án hóa chất (</w:t>
      </w:r>
      <w:r w:rsidRPr="009F007E">
        <w:rPr>
          <w:b/>
          <w:spacing w:val="2"/>
        </w:rPr>
        <w:t>Điều 11)</w:t>
      </w:r>
      <w:r w:rsidRPr="009F007E">
        <w:rPr>
          <w:spacing w:val="2"/>
        </w:rPr>
        <w:t xml:space="preserve"> </w:t>
      </w:r>
    </w:p>
    <w:p w:rsidR="00344E28" w:rsidRPr="006B781C" w:rsidRDefault="00344E28" w:rsidP="00344E28">
      <w:pPr>
        <w:pBdr>
          <w:top w:val="nil"/>
          <w:left w:val="nil"/>
          <w:bottom w:val="nil"/>
          <w:right w:val="nil"/>
          <w:between w:val="nil"/>
        </w:pBdr>
        <w:spacing w:before="100" w:after="20"/>
        <w:ind w:firstLine="567"/>
        <w:jc w:val="both"/>
        <w:rPr>
          <w:color w:val="000000"/>
        </w:rPr>
      </w:pPr>
      <w:r>
        <w:t>Đ</w:t>
      </w:r>
      <w:r w:rsidRPr="009F007E">
        <w:t xml:space="preserve">ề nghị </w:t>
      </w:r>
      <w:r>
        <w:t xml:space="preserve">nghiên cứu, </w:t>
      </w:r>
      <w:r w:rsidRPr="009F007E">
        <w:rPr>
          <w:color w:val="000000"/>
          <w:highlight w:val="white"/>
        </w:rPr>
        <w:t xml:space="preserve">cân nhắc quy định theo hướng khuyến khích áp dụng nguyên tắc hóa học xanh trong </w:t>
      </w:r>
      <w:r>
        <w:rPr>
          <w:color w:val="000000"/>
          <w:highlight w:val="white"/>
        </w:rPr>
        <w:t>quy định</w:t>
      </w:r>
      <w:r w:rsidRPr="009F007E">
        <w:rPr>
          <w:color w:val="000000"/>
          <w:highlight w:val="white"/>
        </w:rPr>
        <w:t xml:space="preserve"> về chính sách của nhà nước đối với công nghiệp hóa chất</w:t>
      </w:r>
      <w:r>
        <w:rPr>
          <w:color w:val="000000"/>
          <w:highlight w:val="white"/>
        </w:rPr>
        <w:t xml:space="preserve">, </w:t>
      </w:r>
      <w:r w:rsidRPr="009A3565">
        <w:rPr>
          <w:spacing w:val="-2"/>
        </w:rPr>
        <w:t>quy định rõ trách nhiệm thẩm định về nguyên tắc hóa học xanh</w:t>
      </w:r>
      <w:r w:rsidRPr="009F007E">
        <w:rPr>
          <w:color w:val="000000"/>
          <w:highlight w:val="white"/>
        </w:rPr>
        <w:t xml:space="preserve">. </w:t>
      </w:r>
    </w:p>
    <w:p w:rsidR="00344E28" w:rsidRPr="009B1A8C" w:rsidRDefault="00344E28" w:rsidP="00344E28">
      <w:pPr>
        <w:spacing w:before="100" w:after="20"/>
        <w:ind w:firstLine="567"/>
        <w:jc w:val="both"/>
        <w:rPr>
          <w:rFonts w:ascii="Times New Roman Bold" w:hAnsi="Times New Roman Bold"/>
          <w:b/>
          <w:bCs/>
          <w:i/>
          <w:color w:val="000000"/>
          <w:spacing w:val="-4"/>
        </w:rPr>
      </w:pPr>
      <w:r w:rsidRPr="009B1A8C">
        <w:rPr>
          <w:rFonts w:ascii="Times New Roman Bold" w:hAnsi="Times New Roman Bold"/>
          <w:b/>
          <w:color w:val="000000"/>
          <w:spacing w:val="-4"/>
        </w:rPr>
        <w:t>2.3. Về</w:t>
      </w:r>
      <w:r w:rsidRPr="009B1A8C">
        <w:rPr>
          <w:rFonts w:ascii="Times New Roman Bold" w:hAnsi="Times New Roman Bold"/>
          <w:color w:val="000000"/>
          <w:spacing w:val="-4"/>
        </w:rPr>
        <w:t xml:space="preserve"> </w:t>
      </w:r>
      <w:r w:rsidRPr="009B1A8C">
        <w:rPr>
          <w:rFonts w:ascii="Times New Roman Bold" w:hAnsi="Times New Roman Bold"/>
          <w:b/>
          <w:bCs/>
          <w:spacing w:val="-4"/>
        </w:rPr>
        <w:t xml:space="preserve">ưu đãi đầu tư đối với lĩnh vực công nghiệp hóa chất trọng điểm (Điều 12) </w:t>
      </w:r>
    </w:p>
    <w:p w:rsidR="00344E28" w:rsidRPr="004B3F5C" w:rsidRDefault="00344E28" w:rsidP="00344E28">
      <w:pPr>
        <w:widowControl w:val="0"/>
        <w:spacing w:before="100" w:after="20"/>
        <w:ind w:firstLine="567"/>
        <w:jc w:val="both"/>
        <w:rPr>
          <w:bCs/>
          <w:color w:val="000000"/>
        </w:rPr>
      </w:pPr>
      <w:r>
        <w:rPr>
          <w:iCs/>
          <w:lang w:val="pt-BR"/>
        </w:rPr>
        <w:t xml:space="preserve">Đề nghị rà soát quy định này với Luật Đầu tư, bảo đảm phù hợp với </w:t>
      </w:r>
      <w:r w:rsidRPr="002F1E70">
        <w:rPr>
          <w:bCs/>
          <w:color w:val="000000"/>
        </w:rPr>
        <w:t>Nghị quyết số 23-NQ/TW ngày 22/3/2018 của Bộ Chính trị về định hướng xây dựng chính sách phát triển công nghiệp quốc gia đến năm 2030, tầm nhìn đến năm 2045.</w:t>
      </w:r>
      <w:r>
        <w:rPr>
          <w:bCs/>
          <w:color w:val="000000"/>
        </w:rPr>
        <w:t xml:space="preserve"> </w:t>
      </w:r>
    </w:p>
    <w:p w:rsidR="00344E28" w:rsidRPr="009F007E" w:rsidRDefault="00344E28" w:rsidP="00344E28">
      <w:pPr>
        <w:pBdr>
          <w:top w:val="nil"/>
          <w:left w:val="nil"/>
          <w:bottom w:val="nil"/>
          <w:right w:val="nil"/>
          <w:between w:val="nil"/>
        </w:pBdr>
        <w:spacing w:before="100" w:after="20"/>
        <w:ind w:firstLine="567"/>
        <w:jc w:val="both"/>
        <w:rPr>
          <w:b/>
          <w:color w:val="000000"/>
          <w:highlight w:val="white"/>
        </w:rPr>
      </w:pPr>
      <w:r w:rsidRPr="009F007E">
        <w:rPr>
          <w:b/>
          <w:color w:val="000000"/>
          <w:highlight w:val="white"/>
        </w:rPr>
        <w:t xml:space="preserve">2.4. Về </w:t>
      </w:r>
      <w:r w:rsidRPr="009F007E">
        <w:rPr>
          <w:b/>
          <w:spacing w:val="2"/>
        </w:rPr>
        <w:t>hoạt động tư vấn chuyên ngành hóa chất (Điều 13) và điều kiện tư vấn chuyên ngành hóa chất (Điều 14)</w:t>
      </w:r>
    </w:p>
    <w:p w:rsidR="00344E28" w:rsidRDefault="00344E28" w:rsidP="00344E28">
      <w:pPr>
        <w:spacing w:before="100" w:after="20"/>
        <w:ind w:firstLine="567"/>
        <w:jc w:val="both"/>
        <w:rPr>
          <w:color w:val="000000"/>
          <w:spacing w:val="2"/>
        </w:rPr>
      </w:pPr>
      <w:r>
        <w:rPr>
          <w:color w:val="000000"/>
          <w:spacing w:val="2"/>
        </w:rPr>
        <w:t>Đ</w:t>
      </w:r>
      <w:r w:rsidRPr="00484549">
        <w:rPr>
          <w:color w:val="000000"/>
          <w:spacing w:val="2"/>
        </w:rPr>
        <w:t xml:space="preserve">ề nghị đánh giá kỹ tác động của </w:t>
      </w:r>
      <w:r>
        <w:rPr>
          <w:color w:val="000000"/>
          <w:spacing w:val="2"/>
        </w:rPr>
        <w:t>quy định</w:t>
      </w:r>
      <w:r w:rsidRPr="00484549">
        <w:rPr>
          <w:color w:val="000000"/>
          <w:spacing w:val="2"/>
        </w:rPr>
        <w:t xml:space="preserve"> </w:t>
      </w:r>
      <w:r>
        <w:rPr>
          <w:color w:val="000000"/>
          <w:spacing w:val="2"/>
        </w:rPr>
        <w:t xml:space="preserve">về </w:t>
      </w:r>
      <w:r w:rsidRPr="00484549">
        <w:rPr>
          <w:color w:val="000000"/>
          <w:highlight w:val="white"/>
        </w:rPr>
        <w:t xml:space="preserve">hoạt động </w:t>
      </w:r>
      <w:r>
        <w:rPr>
          <w:color w:val="000000"/>
          <w:highlight w:val="white"/>
        </w:rPr>
        <w:t>tư vấn chuyên ngành hóa chất</w:t>
      </w:r>
      <w:r w:rsidRPr="00484549">
        <w:rPr>
          <w:color w:val="000000"/>
          <w:spacing w:val="2"/>
        </w:rPr>
        <w:t xml:space="preserve">, </w:t>
      </w:r>
      <w:r>
        <w:rPr>
          <w:color w:val="000000"/>
          <w:spacing w:val="2"/>
        </w:rPr>
        <w:t>bổ sung kinh nghiệm quốc tế về nội dung này</w:t>
      </w:r>
      <w:r>
        <w:rPr>
          <w:color w:val="000000"/>
        </w:rPr>
        <w:t>;</w:t>
      </w:r>
      <w:r w:rsidRPr="002312E5">
        <w:rPr>
          <w:color w:val="000000"/>
          <w:spacing w:val="-2"/>
        </w:rPr>
        <w:t xml:space="preserve"> </w:t>
      </w:r>
      <w:r w:rsidRPr="004B3F5C">
        <w:rPr>
          <w:color w:val="000000"/>
          <w:spacing w:val="-2"/>
        </w:rPr>
        <w:t xml:space="preserve">bổ sung mã ngành nghề đầu tư kinh doanh có điều kiện theo Phụ lục </w:t>
      </w:r>
      <w:r>
        <w:rPr>
          <w:color w:val="000000"/>
          <w:spacing w:val="-2"/>
        </w:rPr>
        <w:t>IV</w:t>
      </w:r>
      <w:r w:rsidRPr="004B3F5C">
        <w:rPr>
          <w:color w:val="000000"/>
          <w:spacing w:val="-2"/>
        </w:rPr>
        <w:t xml:space="preserve"> </w:t>
      </w:r>
      <w:r w:rsidRPr="009F007E">
        <w:t xml:space="preserve">Danh mục ngành, nghề đầu tư, kinh doanh có điều kiện </w:t>
      </w:r>
      <w:r w:rsidRPr="004B3F5C">
        <w:rPr>
          <w:color w:val="000000"/>
          <w:spacing w:val="-2"/>
        </w:rPr>
        <w:t>của Luật Đầu tư là “</w:t>
      </w:r>
      <w:r w:rsidRPr="009A3565">
        <w:rPr>
          <w:i/>
          <w:color w:val="000000"/>
          <w:spacing w:val="-2"/>
        </w:rPr>
        <w:t>Hoạt động tư vấn chuyên ngành hóa chất</w:t>
      </w:r>
      <w:r w:rsidRPr="004B3F5C">
        <w:rPr>
          <w:color w:val="000000"/>
          <w:spacing w:val="-2"/>
        </w:rPr>
        <w:t>”</w:t>
      </w:r>
      <w:r>
        <w:rPr>
          <w:color w:val="000000"/>
          <w:spacing w:val="-2"/>
        </w:rPr>
        <w:t xml:space="preserve">; </w:t>
      </w:r>
      <w:r w:rsidRPr="00484549">
        <w:rPr>
          <w:color w:val="000000"/>
        </w:rPr>
        <w:t xml:space="preserve">quy định </w:t>
      </w:r>
      <w:r w:rsidRPr="00484549">
        <w:rPr>
          <w:color w:val="000000"/>
          <w:spacing w:val="2"/>
        </w:rPr>
        <w:t>điều kiện của tổ chức hoạt động tư vấn</w:t>
      </w:r>
      <w:r>
        <w:rPr>
          <w:color w:val="000000"/>
        </w:rPr>
        <w:t>,</w:t>
      </w:r>
      <w:r w:rsidRPr="004B3F5C">
        <w:rPr>
          <w:color w:val="000000"/>
          <w:spacing w:val="-2"/>
        </w:rPr>
        <w:t xml:space="preserve"> cơ quan cấp chứng chỉ</w:t>
      </w:r>
      <w:r>
        <w:rPr>
          <w:color w:val="000000"/>
          <w:spacing w:val="-2"/>
        </w:rPr>
        <w:t>.</w:t>
      </w:r>
      <w:r w:rsidRPr="00484549">
        <w:rPr>
          <w:color w:val="000000"/>
        </w:rPr>
        <w:t xml:space="preserve"> </w:t>
      </w:r>
    </w:p>
    <w:p w:rsidR="00344E28" w:rsidRDefault="00344E28" w:rsidP="00344E28">
      <w:pPr>
        <w:spacing w:before="100" w:after="20"/>
        <w:ind w:firstLine="567"/>
        <w:jc w:val="both"/>
        <w:rPr>
          <w:color w:val="000000"/>
          <w:spacing w:val="2"/>
        </w:rPr>
      </w:pPr>
      <w:r w:rsidRPr="009F007E">
        <w:rPr>
          <w:b/>
          <w:bCs/>
          <w:spacing w:val="2"/>
        </w:rPr>
        <w:t xml:space="preserve">3. Về </w:t>
      </w:r>
      <w:r>
        <w:rPr>
          <w:b/>
          <w:bCs/>
          <w:spacing w:val="2"/>
        </w:rPr>
        <w:t>q</w:t>
      </w:r>
      <w:r w:rsidRPr="009F007E">
        <w:rPr>
          <w:b/>
          <w:bCs/>
          <w:spacing w:val="2"/>
        </w:rPr>
        <w:t>uản lý hoạt động hóa chất (Chương III)</w:t>
      </w:r>
    </w:p>
    <w:p w:rsidR="00344E28" w:rsidRPr="00A2670D" w:rsidRDefault="00344E28" w:rsidP="00344E28">
      <w:pPr>
        <w:spacing w:before="100" w:after="20"/>
        <w:ind w:firstLine="567"/>
        <w:jc w:val="both"/>
        <w:rPr>
          <w:color w:val="000000"/>
          <w:spacing w:val="2"/>
        </w:rPr>
      </w:pPr>
      <w:r w:rsidRPr="009F007E">
        <w:rPr>
          <w:b/>
          <w:bCs/>
          <w:lang w:val="nl-NL"/>
        </w:rPr>
        <w:t>3.</w:t>
      </w:r>
      <w:r>
        <w:rPr>
          <w:b/>
          <w:bCs/>
          <w:lang w:val="nl-NL"/>
        </w:rPr>
        <w:t>1</w:t>
      </w:r>
      <w:r w:rsidRPr="009F007E">
        <w:rPr>
          <w:b/>
          <w:bCs/>
          <w:lang w:val="nl-NL"/>
        </w:rPr>
        <w:t>. Về vận chuyển hóa chất (Điều 19)</w:t>
      </w:r>
      <w:r>
        <w:rPr>
          <w:b/>
          <w:bCs/>
          <w:lang w:val="nl-NL"/>
        </w:rPr>
        <w:t xml:space="preserve">, </w:t>
      </w:r>
      <w:r w:rsidRPr="009F007E">
        <w:rPr>
          <w:b/>
          <w:bCs/>
        </w:rPr>
        <w:t>tồn trữ hóa chất (Điều 20)</w:t>
      </w:r>
    </w:p>
    <w:p w:rsidR="00344E28" w:rsidRPr="002312E5" w:rsidRDefault="00344E28" w:rsidP="00344E28">
      <w:pPr>
        <w:tabs>
          <w:tab w:val="left" w:pos="720"/>
        </w:tabs>
        <w:spacing w:before="100" w:after="20"/>
        <w:ind w:firstLine="567"/>
        <w:jc w:val="both"/>
        <w:rPr>
          <w:bCs/>
          <w:spacing w:val="2"/>
        </w:rPr>
      </w:pPr>
      <w:r>
        <w:rPr>
          <w:bCs/>
          <w:spacing w:val="2"/>
        </w:rPr>
        <w:t>- Có ý kiến cho rằng việc quản lý hóa chất theo vòng đời chưa thực sự được quy định rõ trong dự thảo Luật; cần nghiên cứu, đánh giá việc phân loại hóa chất quản lý để có hướng tiếp cận mới về quản lý cho phù hợp.</w:t>
      </w:r>
    </w:p>
    <w:p w:rsidR="00344E28" w:rsidRDefault="00344E28" w:rsidP="00344E28">
      <w:pPr>
        <w:widowControl w:val="0"/>
        <w:spacing w:before="100" w:after="20"/>
        <w:ind w:firstLine="567"/>
        <w:jc w:val="both"/>
      </w:pPr>
      <w:r>
        <w:rPr>
          <w:bCs/>
          <w:lang w:val="nl-NL"/>
        </w:rPr>
        <w:t>- Đ</w:t>
      </w:r>
      <w:r w:rsidRPr="009F007E">
        <w:rPr>
          <w:bCs/>
          <w:lang w:val="nl-NL"/>
        </w:rPr>
        <w:t>ề nghị nghiên cứu</w:t>
      </w:r>
      <w:r>
        <w:rPr>
          <w:bCs/>
          <w:lang w:val="nl-NL"/>
        </w:rPr>
        <w:t>,</w:t>
      </w:r>
      <w:r w:rsidRPr="009F007E">
        <w:rPr>
          <w:bCs/>
          <w:lang w:val="nl-NL"/>
        </w:rPr>
        <w:t xml:space="preserve"> bổ sung các quy định về điều kiện của tổ chức, cá nhân được vận chuyển hóa chất; cấp giấy phép vận chuyển hóa chất; trách nhiệm của tổ chức, cá nhân vận chuyển hóa chất để xảy ra sự cố về hóa chất gây ảnh hưởng đến môi trường và sức khỏe của con người</w:t>
      </w:r>
      <w:r>
        <w:t>.</w:t>
      </w:r>
      <w:r w:rsidRPr="009F007E">
        <w:t xml:space="preserve"> </w:t>
      </w:r>
    </w:p>
    <w:p w:rsidR="00344E28" w:rsidRPr="0028382A" w:rsidRDefault="00344E28" w:rsidP="00344E28">
      <w:pPr>
        <w:tabs>
          <w:tab w:val="left" w:pos="720"/>
        </w:tabs>
        <w:spacing w:before="100" w:after="20"/>
        <w:ind w:firstLine="567"/>
        <w:jc w:val="both"/>
        <w:rPr>
          <w:rFonts w:ascii="Times New Roman Bold" w:hAnsi="Times New Roman Bold"/>
          <w:b/>
          <w:spacing w:val="-4"/>
        </w:rPr>
      </w:pPr>
      <w:r w:rsidRPr="0028382A">
        <w:rPr>
          <w:rFonts w:ascii="Times New Roman Bold" w:hAnsi="Times New Roman Bold"/>
          <w:b/>
          <w:bCs/>
          <w:spacing w:val="-4"/>
        </w:rPr>
        <w:lastRenderedPageBreak/>
        <w:t>3.2. Về</w:t>
      </w:r>
      <w:r w:rsidRPr="0028382A">
        <w:rPr>
          <w:rFonts w:ascii="Times New Roman Bold" w:hAnsi="Times New Roman Bold"/>
          <w:b/>
          <w:spacing w:val="-4"/>
        </w:rPr>
        <w:t xml:space="preserve"> thời hạn liên quan đến giấy chứng nhận, giấy phép (Điều 24 và 25) </w:t>
      </w:r>
    </w:p>
    <w:p w:rsidR="00344E28" w:rsidRPr="00484549" w:rsidRDefault="00344E28" w:rsidP="00344E28">
      <w:pPr>
        <w:tabs>
          <w:tab w:val="left" w:pos="720"/>
        </w:tabs>
        <w:spacing w:before="100" w:after="20"/>
        <w:ind w:firstLine="567"/>
        <w:jc w:val="both"/>
        <w:rPr>
          <w:color w:val="000000"/>
        </w:rPr>
      </w:pPr>
      <w:r>
        <w:rPr>
          <w:color w:val="000000"/>
          <w:spacing w:val="2"/>
        </w:rPr>
        <w:t>- Đ</w:t>
      </w:r>
      <w:r w:rsidRPr="00484549">
        <w:rPr>
          <w:color w:val="000000"/>
          <w:spacing w:val="2"/>
        </w:rPr>
        <w:t xml:space="preserve">ề nghị nghiên cứu, bổ sung đánh giá tình hình thực hiện quy định thời hạn của giấy chứng nhận, giấy phép </w:t>
      </w:r>
      <w:r w:rsidRPr="00484549">
        <w:rPr>
          <w:bCs/>
          <w:color w:val="000000"/>
          <w:spacing w:val="2"/>
        </w:rPr>
        <w:t>bảo</w:t>
      </w:r>
      <w:r>
        <w:rPr>
          <w:bCs/>
          <w:color w:val="000000"/>
          <w:spacing w:val="2"/>
        </w:rPr>
        <w:t xml:space="preserve"> đảm tính</w:t>
      </w:r>
      <w:r w:rsidRPr="00484549">
        <w:rPr>
          <w:bCs/>
          <w:color w:val="000000"/>
          <w:spacing w:val="2"/>
        </w:rPr>
        <w:t xml:space="preserve"> khả thi</w:t>
      </w:r>
      <w:r>
        <w:rPr>
          <w:bCs/>
          <w:color w:val="000000"/>
          <w:spacing w:val="2"/>
        </w:rPr>
        <w:t xml:space="preserve"> của dự thảo Luật</w:t>
      </w:r>
      <w:r w:rsidRPr="00484549">
        <w:rPr>
          <w:bCs/>
          <w:color w:val="000000"/>
          <w:spacing w:val="2"/>
        </w:rPr>
        <w:t xml:space="preserve">, tránh </w:t>
      </w:r>
      <w:r>
        <w:rPr>
          <w:bCs/>
          <w:color w:val="000000"/>
          <w:spacing w:val="2"/>
        </w:rPr>
        <w:t>phát sinh</w:t>
      </w:r>
      <w:r w:rsidRPr="00484549">
        <w:rPr>
          <w:bCs/>
          <w:color w:val="000000"/>
          <w:spacing w:val="2"/>
        </w:rPr>
        <w:t xml:space="preserve"> </w:t>
      </w:r>
      <w:r w:rsidRPr="00484549">
        <w:rPr>
          <w:color w:val="000000"/>
        </w:rPr>
        <w:t xml:space="preserve">chi phí thủ tục hành chính cho doanh nghiệp. </w:t>
      </w:r>
    </w:p>
    <w:p w:rsidR="00344E28" w:rsidRDefault="00344E28" w:rsidP="00344E28">
      <w:pPr>
        <w:tabs>
          <w:tab w:val="left" w:pos="720"/>
        </w:tabs>
        <w:spacing w:before="100" w:after="20"/>
        <w:ind w:firstLine="567"/>
        <w:jc w:val="both"/>
        <w:rPr>
          <w:color w:val="000000"/>
        </w:rPr>
      </w:pPr>
      <w:r w:rsidRPr="00484549">
        <w:rPr>
          <w:color w:val="000000"/>
        </w:rPr>
        <w:t xml:space="preserve">- </w:t>
      </w:r>
      <w:r>
        <w:rPr>
          <w:color w:val="000000"/>
        </w:rPr>
        <w:t xml:space="preserve">Một số ý kiến </w:t>
      </w:r>
      <w:r w:rsidRPr="00484549">
        <w:rPr>
          <w:color w:val="000000"/>
        </w:rPr>
        <w:t>đ</w:t>
      </w:r>
      <w:r w:rsidRPr="00484549">
        <w:rPr>
          <w:color w:val="000000"/>
          <w:spacing w:val="2"/>
        </w:rPr>
        <w:t xml:space="preserve">ề nghị áp dụng thời hạn 10 năm đối với </w:t>
      </w:r>
      <w:r w:rsidRPr="009F007E">
        <w:rPr>
          <w:color w:val="000000"/>
          <w:spacing w:val="2"/>
        </w:rPr>
        <w:t>0</w:t>
      </w:r>
      <w:r w:rsidRPr="00484549">
        <w:rPr>
          <w:color w:val="000000"/>
          <w:spacing w:val="2"/>
        </w:rPr>
        <w:t xml:space="preserve">2 loại giấy phép: </w:t>
      </w:r>
      <w:r w:rsidRPr="00484549">
        <w:rPr>
          <w:color w:val="000000"/>
        </w:rPr>
        <w:t>Giấy chứng nhận đủ điều kiện sản xuất hóa chất có điều kiện; Giấy chứng nhận đủ điều kiện kinh doanh hóa chất có điều kiện</w:t>
      </w:r>
      <w:r w:rsidRPr="00484549">
        <w:rPr>
          <w:color w:val="000000"/>
          <w:spacing w:val="2"/>
        </w:rPr>
        <w:t xml:space="preserve"> để </w:t>
      </w:r>
      <w:r w:rsidRPr="00484549">
        <w:rPr>
          <w:color w:val="000000"/>
        </w:rPr>
        <w:t xml:space="preserve">phù hợp thực tiễn và tương tự quy định tại Điều 40 </w:t>
      </w:r>
      <w:hyperlink r:id="rId7" w:tgtFrame="_blank" w:history="1">
        <w:r w:rsidRPr="00484549">
          <w:rPr>
            <w:color w:val="000000"/>
          </w:rPr>
          <w:t xml:space="preserve">Luật Bảo vệ môi trường </w:t>
        </w:r>
      </w:hyperlink>
      <w:r w:rsidRPr="00484549">
        <w:rPr>
          <w:color w:val="000000"/>
        </w:rPr>
        <w:t>về thời hạn của giấy phép môi trường</w:t>
      </w:r>
      <w:r w:rsidRPr="00484549">
        <w:rPr>
          <w:color w:val="000000"/>
          <w:spacing w:val="2"/>
        </w:rPr>
        <w:t>.</w:t>
      </w:r>
    </w:p>
    <w:p w:rsidR="00344E28" w:rsidRPr="008F43E5" w:rsidRDefault="00344E28" w:rsidP="00344E28">
      <w:pPr>
        <w:tabs>
          <w:tab w:val="left" w:pos="720"/>
        </w:tabs>
        <w:spacing w:before="100" w:after="20"/>
        <w:ind w:firstLine="567"/>
        <w:jc w:val="both"/>
        <w:rPr>
          <w:rFonts w:ascii="Times New Roman Bold" w:hAnsi="Times New Roman Bold"/>
          <w:color w:val="000000"/>
          <w:spacing w:val="-3"/>
        </w:rPr>
      </w:pPr>
      <w:r w:rsidRPr="008F43E5">
        <w:rPr>
          <w:rFonts w:ascii="Times New Roman Bold" w:hAnsi="Times New Roman Bold"/>
          <w:b/>
          <w:spacing w:val="-3"/>
        </w:rPr>
        <w:t xml:space="preserve">3.3. </w:t>
      </w:r>
      <w:r w:rsidRPr="008F43E5">
        <w:rPr>
          <w:rFonts w:ascii="Times New Roman Bold" w:hAnsi="Times New Roman Bold"/>
          <w:b/>
          <w:spacing w:val="-3"/>
          <w:lang w:val="vi-VN"/>
        </w:rPr>
        <w:t xml:space="preserve">Về </w:t>
      </w:r>
      <w:r w:rsidRPr="008F43E5">
        <w:rPr>
          <w:rFonts w:ascii="Times New Roman Bold" w:hAnsi="Times New Roman Bold"/>
          <w:b/>
          <w:spacing w:val="-3"/>
        </w:rPr>
        <w:t>P</w:t>
      </w:r>
      <w:r w:rsidRPr="008F43E5">
        <w:rPr>
          <w:rFonts w:ascii="Times New Roman Bold" w:hAnsi="Times New Roman Bold"/>
          <w:b/>
          <w:spacing w:val="-3"/>
          <w:lang w:val="vi-VN"/>
        </w:rPr>
        <w:t>hiếu kiểm soát mua, bán hóa chất cần kiểm soát đặc biệt</w:t>
      </w:r>
      <w:r w:rsidRPr="008F43E5">
        <w:rPr>
          <w:rFonts w:ascii="Calibri" w:hAnsi="Calibri"/>
          <w:b/>
          <w:spacing w:val="-3"/>
        </w:rPr>
        <w:t xml:space="preserve"> </w:t>
      </w:r>
      <w:r w:rsidRPr="008F43E5">
        <w:rPr>
          <w:rFonts w:ascii="Times New Roman Bold" w:hAnsi="Times New Roman Bold"/>
          <w:b/>
          <w:spacing w:val="-3"/>
          <w:lang w:val="vi-VN"/>
        </w:rPr>
        <w:t>(Điều 33)</w:t>
      </w:r>
    </w:p>
    <w:p w:rsidR="00344E28" w:rsidRDefault="00344E28" w:rsidP="00344E28">
      <w:pPr>
        <w:tabs>
          <w:tab w:val="left" w:pos="720"/>
        </w:tabs>
        <w:spacing w:before="100" w:after="20"/>
        <w:ind w:firstLine="567"/>
        <w:jc w:val="both"/>
        <w:rPr>
          <w:bCs/>
          <w:color w:val="000000"/>
          <w:lang w:val="vi-VN"/>
        </w:rPr>
      </w:pPr>
      <w:r>
        <w:rPr>
          <w:color w:val="000000"/>
        </w:rPr>
        <w:t>Có ý kiến</w:t>
      </w:r>
      <w:r w:rsidRPr="00484549">
        <w:rPr>
          <w:color w:val="000000"/>
        </w:rPr>
        <w:t xml:space="preserve"> </w:t>
      </w:r>
      <w:r w:rsidRPr="00484549">
        <w:rPr>
          <w:bCs/>
          <w:color w:val="000000"/>
          <w:lang w:val="vi-VN"/>
        </w:rPr>
        <w:t xml:space="preserve">đề nghị rà soát, làm rõ giá trị pháp lý, mối quan hệ giữa Phiếu đã được lập, xác nhận với việc công bố </w:t>
      </w:r>
      <w:r>
        <w:rPr>
          <w:bCs/>
          <w:color w:val="000000"/>
        </w:rPr>
        <w:t xml:space="preserve">một số nội dung </w:t>
      </w:r>
      <w:r w:rsidRPr="00484549">
        <w:rPr>
          <w:bCs/>
          <w:color w:val="000000"/>
          <w:lang w:val="vi-VN"/>
        </w:rPr>
        <w:t>trên Cơ sở dữ liệu hoá chất</w:t>
      </w:r>
      <w:r>
        <w:rPr>
          <w:bCs/>
          <w:color w:val="000000"/>
        </w:rPr>
        <w:t xml:space="preserve">; </w:t>
      </w:r>
      <w:r w:rsidRPr="00484549">
        <w:rPr>
          <w:bCs/>
          <w:color w:val="000000"/>
          <w:lang w:val="vi-VN"/>
        </w:rPr>
        <w:t>nghiên cứu loại bớt nghĩa vụ của tổ chức, cá nhân sử dụng hóa chất</w:t>
      </w:r>
      <w:r>
        <w:rPr>
          <w:bCs/>
          <w:color w:val="000000"/>
        </w:rPr>
        <w:t>.</w:t>
      </w:r>
    </w:p>
    <w:p w:rsidR="00344E28" w:rsidRDefault="00344E28" w:rsidP="00344E28">
      <w:pPr>
        <w:tabs>
          <w:tab w:val="left" w:pos="720"/>
        </w:tabs>
        <w:spacing w:before="100" w:after="20"/>
        <w:ind w:firstLine="567"/>
        <w:jc w:val="both"/>
        <w:rPr>
          <w:bCs/>
          <w:color w:val="000000"/>
          <w:lang w:val="vi-VN"/>
        </w:rPr>
      </w:pPr>
      <w:r w:rsidRPr="00484549">
        <w:rPr>
          <w:b/>
          <w:spacing w:val="2"/>
        </w:rPr>
        <w:t>4. Về hóa chất nguy hiểm trong sản phẩm hàng hóa (</w:t>
      </w:r>
      <w:r>
        <w:rPr>
          <w:b/>
          <w:spacing w:val="2"/>
        </w:rPr>
        <w:t>Chương V</w:t>
      </w:r>
      <w:r w:rsidRPr="00484549">
        <w:rPr>
          <w:b/>
          <w:spacing w:val="2"/>
        </w:rPr>
        <w:t>)</w:t>
      </w:r>
    </w:p>
    <w:p w:rsidR="00344E28" w:rsidRDefault="00344E28" w:rsidP="00344E28">
      <w:pPr>
        <w:tabs>
          <w:tab w:val="left" w:pos="720"/>
        </w:tabs>
        <w:spacing w:before="100" w:after="20"/>
        <w:ind w:firstLine="567"/>
        <w:jc w:val="both"/>
        <w:rPr>
          <w:spacing w:val="2"/>
        </w:rPr>
      </w:pPr>
      <w:r>
        <w:rPr>
          <w:spacing w:val="2"/>
        </w:rPr>
        <w:t xml:space="preserve">Đề nghị </w:t>
      </w:r>
      <w:r w:rsidRPr="009F007E">
        <w:rPr>
          <w:bCs/>
        </w:rPr>
        <w:t>làm rõ chức năng của cơ quan liên quan như</w:t>
      </w:r>
      <w:r>
        <w:rPr>
          <w:bCs/>
        </w:rPr>
        <w:t xml:space="preserve"> các bộ:</w:t>
      </w:r>
      <w:r w:rsidRPr="009F007E">
        <w:rPr>
          <w:bCs/>
        </w:rPr>
        <w:t xml:space="preserve"> Công</w:t>
      </w:r>
      <w:r>
        <w:rPr>
          <w:bCs/>
        </w:rPr>
        <w:t xml:space="preserve"> T</w:t>
      </w:r>
      <w:r w:rsidRPr="009F007E">
        <w:rPr>
          <w:bCs/>
        </w:rPr>
        <w:t xml:space="preserve">hương, Y tế, </w:t>
      </w:r>
      <w:r>
        <w:rPr>
          <w:bCs/>
        </w:rPr>
        <w:t>Nông nghiệp và Phát triển nông thôn</w:t>
      </w:r>
      <w:r w:rsidRPr="009F007E">
        <w:rPr>
          <w:bCs/>
        </w:rPr>
        <w:t xml:space="preserve"> liên quan đến quản lý hóa chất trong sản phẩm chứa hóa chất</w:t>
      </w:r>
      <w:r>
        <w:rPr>
          <w:iCs/>
        </w:rPr>
        <w:t>; nghiên cứu, thể hiện lại các</w:t>
      </w:r>
      <w:r w:rsidRPr="009F007E">
        <w:rPr>
          <w:spacing w:val="2"/>
        </w:rPr>
        <w:t xml:space="preserve"> quy định</w:t>
      </w:r>
      <w:r>
        <w:rPr>
          <w:spacing w:val="2"/>
        </w:rPr>
        <w:t xml:space="preserve"> cho phù hợp với </w:t>
      </w:r>
      <w:r w:rsidRPr="009F007E">
        <w:rPr>
          <w:spacing w:val="2"/>
        </w:rPr>
        <w:t>Luật Tiêu chuẩn và Quy chuẩn kỹ thuật, Luật Chất lượng sản phẩm hàng hóa</w:t>
      </w:r>
      <w:r>
        <w:rPr>
          <w:spacing w:val="2"/>
        </w:rPr>
        <w:t>.</w:t>
      </w:r>
    </w:p>
    <w:p w:rsidR="00344E28" w:rsidRDefault="00344E28" w:rsidP="00344E28">
      <w:pPr>
        <w:tabs>
          <w:tab w:val="left" w:pos="720"/>
        </w:tabs>
        <w:spacing w:before="100" w:after="20"/>
        <w:ind w:firstLine="567"/>
        <w:jc w:val="both"/>
        <w:rPr>
          <w:bCs/>
          <w:color w:val="000000"/>
          <w:lang w:val="vi-VN"/>
        </w:rPr>
      </w:pPr>
      <w:r w:rsidRPr="009F007E">
        <w:rPr>
          <w:b/>
          <w:spacing w:val="2"/>
        </w:rPr>
        <w:t>5. Về an toàn hóa chất (Chương VI)</w:t>
      </w:r>
    </w:p>
    <w:p w:rsidR="00344E28" w:rsidRDefault="00344E28" w:rsidP="00344E28">
      <w:pPr>
        <w:tabs>
          <w:tab w:val="left" w:pos="720"/>
        </w:tabs>
        <w:spacing w:before="100" w:after="20"/>
        <w:ind w:firstLine="567"/>
        <w:jc w:val="both"/>
        <w:rPr>
          <w:bCs/>
          <w:color w:val="000000"/>
          <w:lang w:val="vi-VN"/>
        </w:rPr>
      </w:pPr>
      <w:r w:rsidRPr="009F007E">
        <w:rPr>
          <w:b/>
          <w:spacing w:val="2"/>
        </w:rPr>
        <w:t>5.1. Về khoảng cách an toàn (Điều 62)</w:t>
      </w:r>
    </w:p>
    <w:p w:rsidR="00344E28" w:rsidRDefault="00344E28" w:rsidP="00344E28">
      <w:pPr>
        <w:tabs>
          <w:tab w:val="left" w:pos="720"/>
        </w:tabs>
        <w:spacing w:before="100" w:after="20"/>
        <w:ind w:firstLine="567"/>
        <w:jc w:val="both"/>
        <w:rPr>
          <w:bCs/>
          <w:color w:val="000000"/>
          <w:lang w:val="vi-VN"/>
        </w:rPr>
      </w:pPr>
      <w:r>
        <w:rPr>
          <w:color w:val="000000"/>
        </w:rPr>
        <w:t>Đ</w:t>
      </w:r>
      <w:r w:rsidRPr="009F007E">
        <w:rPr>
          <w:bCs/>
          <w:spacing w:val="2"/>
        </w:rPr>
        <w:t>ề nghị nghiên cứu,</w:t>
      </w:r>
      <w:r w:rsidRPr="009F007E">
        <w:rPr>
          <w:color w:val="000000"/>
          <w:lang w:val="it-IT"/>
        </w:rPr>
        <w:t xml:space="preserve"> </w:t>
      </w:r>
      <w:r w:rsidRPr="009F007E">
        <w:t xml:space="preserve">quy định cụ thể về khoảng cách an toàn với dự án sản xuất hóa chất mới và dự án đang hoạt động để </w:t>
      </w:r>
      <w:r>
        <w:t>tạo</w:t>
      </w:r>
      <w:r w:rsidRPr="009F007E">
        <w:t xml:space="preserve"> </w:t>
      </w:r>
      <w:r w:rsidRPr="009F007E">
        <w:rPr>
          <w:lang w:val="sv-SE"/>
        </w:rPr>
        <w:t xml:space="preserve">thuận lợi cho doanh nghiệp và địa phương. </w:t>
      </w:r>
      <w:r>
        <w:rPr>
          <w:lang w:val="sv-SE"/>
        </w:rPr>
        <w:t>Đ</w:t>
      </w:r>
      <w:r w:rsidRPr="009F007E">
        <w:t xml:space="preserve">ề nghị </w:t>
      </w:r>
      <w:r>
        <w:t>cân nhắc, k</w:t>
      </w:r>
      <w:r w:rsidRPr="009F007E">
        <w:rPr>
          <w:color w:val="000000"/>
        </w:rPr>
        <w:t xml:space="preserve">hông quy định </w:t>
      </w:r>
      <w:r>
        <w:rPr>
          <w:color w:val="000000"/>
        </w:rPr>
        <w:t>về khoảng cách an toàn</w:t>
      </w:r>
      <w:r w:rsidRPr="009F007E">
        <w:rPr>
          <w:color w:val="000000"/>
        </w:rPr>
        <w:t xml:space="preserve"> thành quy chuẩn kỹ thuật để tránh phát sinh thêm </w:t>
      </w:r>
      <w:r>
        <w:rPr>
          <w:color w:val="000000"/>
        </w:rPr>
        <w:t>thủ tục hành chính.</w:t>
      </w:r>
      <w:r w:rsidRPr="00DC441B">
        <w:rPr>
          <w:bCs/>
          <w:iCs/>
        </w:rPr>
        <w:t xml:space="preserve"> </w:t>
      </w:r>
    </w:p>
    <w:p w:rsidR="00344E28" w:rsidRPr="0026443D" w:rsidRDefault="00344E28" w:rsidP="00344E28">
      <w:pPr>
        <w:tabs>
          <w:tab w:val="left" w:pos="720"/>
        </w:tabs>
        <w:spacing w:before="100" w:after="20"/>
        <w:ind w:firstLine="567"/>
        <w:jc w:val="both"/>
        <w:rPr>
          <w:rFonts w:ascii="Times New Roman Bold" w:hAnsi="Times New Roman Bold"/>
          <w:bCs/>
          <w:color w:val="000000"/>
          <w:spacing w:val="-2"/>
          <w:lang w:val="vi-VN"/>
        </w:rPr>
      </w:pPr>
      <w:r w:rsidRPr="0026443D">
        <w:rPr>
          <w:rFonts w:ascii="Times New Roman Bold" w:hAnsi="Times New Roman Bold"/>
          <w:b/>
          <w:spacing w:val="-2"/>
        </w:rPr>
        <w:t>5.2. Về xây dựng kế hoạch phòng ngừa, ứng phó sự cố hóa chất (Điều 64)</w:t>
      </w:r>
    </w:p>
    <w:p w:rsidR="00344E28" w:rsidRDefault="00344E28" w:rsidP="00344E28">
      <w:pPr>
        <w:tabs>
          <w:tab w:val="left" w:pos="720"/>
        </w:tabs>
        <w:spacing w:before="100" w:after="20"/>
        <w:ind w:firstLine="567"/>
        <w:jc w:val="both"/>
        <w:rPr>
          <w:bCs/>
        </w:rPr>
      </w:pPr>
      <w:r>
        <w:rPr>
          <w:lang w:val="sv-SE"/>
        </w:rPr>
        <w:t>Đ</w:t>
      </w:r>
      <w:r w:rsidRPr="009F007E">
        <w:rPr>
          <w:lang w:val="sv-SE"/>
        </w:rPr>
        <w:t>ề nghị đánh giá lại căn cứ</w:t>
      </w:r>
      <w:r>
        <w:rPr>
          <w:lang w:val="sv-SE"/>
        </w:rPr>
        <w:t>,</w:t>
      </w:r>
      <w:r w:rsidRPr="009F007E">
        <w:rPr>
          <w:lang w:val="sv-SE"/>
        </w:rPr>
        <w:t xml:space="preserve"> tính khả thi của quy định này</w:t>
      </w:r>
      <w:r>
        <w:rPr>
          <w:lang w:val="sv-SE"/>
        </w:rPr>
        <w:t>; bảo đảm</w:t>
      </w:r>
      <w:r w:rsidRPr="009F007E">
        <w:t xml:space="preserve"> phù hợp với tình hình thực tế</w:t>
      </w:r>
      <w:r w:rsidRPr="009F007E" w:rsidDel="00055C53">
        <w:t xml:space="preserve"> </w:t>
      </w:r>
      <w:r>
        <w:rPr>
          <w:lang w:val="sv-SE"/>
        </w:rPr>
        <w:t>và</w:t>
      </w:r>
      <w:r w:rsidRPr="009F007E">
        <w:rPr>
          <w:bCs/>
        </w:rPr>
        <w:t xml:space="preserve"> quy định về phòng ngừa, ứng phó sự cố hóa chất có liên quan </w:t>
      </w:r>
      <w:r>
        <w:rPr>
          <w:bCs/>
        </w:rPr>
        <w:t>trong</w:t>
      </w:r>
      <w:r w:rsidRPr="009F007E">
        <w:rPr>
          <w:bCs/>
        </w:rPr>
        <w:t xml:space="preserve"> một số luật </w:t>
      </w:r>
      <w:r>
        <w:rPr>
          <w:bCs/>
        </w:rPr>
        <w:t>(</w:t>
      </w:r>
      <w:r w:rsidRPr="009F007E">
        <w:rPr>
          <w:bCs/>
        </w:rPr>
        <w:t>như Luật Phòng thủ dân sự, Luật Bảo vệ môi trường, Luật Tài nguyên</w:t>
      </w:r>
      <w:r>
        <w:rPr>
          <w:bCs/>
        </w:rPr>
        <w:t>,</w:t>
      </w:r>
      <w:r w:rsidRPr="009F007E">
        <w:rPr>
          <w:bCs/>
        </w:rPr>
        <w:t xml:space="preserve"> môi trường biển và hải đảo</w:t>
      </w:r>
      <w:r>
        <w:rPr>
          <w:bCs/>
        </w:rPr>
        <w:t xml:space="preserve">…). </w:t>
      </w:r>
    </w:p>
    <w:p w:rsidR="00344E28" w:rsidRPr="005570EB" w:rsidRDefault="00344E28" w:rsidP="00344E28">
      <w:pPr>
        <w:tabs>
          <w:tab w:val="left" w:pos="720"/>
        </w:tabs>
        <w:spacing w:before="100" w:after="20"/>
        <w:ind w:firstLine="567"/>
        <w:jc w:val="both"/>
        <w:rPr>
          <w:bCs/>
        </w:rPr>
      </w:pPr>
      <w:r>
        <w:rPr>
          <w:bCs/>
        </w:rPr>
        <w:t xml:space="preserve">Có ý kiến đề nghị </w:t>
      </w:r>
      <w:r w:rsidRPr="00F76F29">
        <w:rPr>
          <w:bCs/>
        </w:rPr>
        <w:t>nghiên cứu việc tích hợp kế hoạch phòng ngừa, ứng phó sự cố hóa chất với các kế hoạch có liên quan.</w:t>
      </w:r>
    </w:p>
    <w:p w:rsidR="00344E28" w:rsidRPr="00A2670D" w:rsidRDefault="00344E28" w:rsidP="00344E28">
      <w:pPr>
        <w:tabs>
          <w:tab w:val="left" w:pos="720"/>
        </w:tabs>
        <w:spacing w:before="100" w:after="20"/>
        <w:ind w:firstLine="567"/>
        <w:jc w:val="both"/>
        <w:rPr>
          <w:bCs/>
          <w:color w:val="000000"/>
          <w:lang w:val="vi-VN"/>
        </w:rPr>
      </w:pPr>
      <w:r w:rsidRPr="00484549">
        <w:rPr>
          <w:b/>
          <w:bCs/>
        </w:rPr>
        <w:t>6. Về quản lý nhà nước về hóa chất (Chương VIII)</w:t>
      </w:r>
    </w:p>
    <w:p w:rsidR="00344E28" w:rsidRPr="007226D2" w:rsidRDefault="00344E28" w:rsidP="00344E28">
      <w:pPr>
        <w:tabs>
          <w:tab w:val="left" w:pos="720"/>
        </w:tabs>
        <w:spacing w:before="100" w:after="20"/>
        <w:ind w:firstLine="567"/>
        <w:jc w:val="both"/>
      </w:pPr>
      <w:r w:rsidRPr="007226D2">
        <w:rPr>
          <w:bCs/>
          <w:lang w:val="nl-NL"/>
        </w:rPr>
        <w:t xml:space="preserve">Đề </w:t>
      </w:r>
      <w:r w:rsidRPr="007226D2">
        <w:rPr>
          <w:bCs/>
        </w:rPr>
        <w:t>nghị</w:t>
      </w:r>
      <w:r w:rsidRPr="007226D2">
        <w:rPr>
          <w:bCs/>
          <w:lang w:val="nl-NL"/>
        </w:rPr>
        <w:t xml:space="preserve"> </w:t>
      </w:r>
      <w:r w:rsidRPr="007226D2">
        <w:rPr>
          <w:lang w:val="nl-NL"/>
        </w:rPr>
        <w:t xml:space="preserve">nghiên cứu, </w:t>
      </w:r>
      <w:r w:rsidRPr="007226D2">
        <w:t xml:space="preserve">hoàn thiện </w:t>
      </w:r>
      <w:r w:rsidRPr="007226D2">
        <w:rPr>
          <w:lang w:val="pt-BR"/>
        </w:rPr>
        <w:t>quy</w:t>
      </w:r>
      <w:r w:rsidRPr="007226D2">
        <w:t xml:space="preserve"> định chi tiết, đầy đủ hơn, </w:t>
      </w:r>
      <w:r w:rsidRPr="007226D2">
        <w:rPr>
          <w:rStyle w:val="normal-h"/>
        </w:rPr>
        <w:t>phân định rõ trách nhiệm và cơ chế phối hợp trong quản lý nhà nước</w:t>
      </w:r>
      <w:r w:rsidRPr="007226D2">
        <w:t xml:space="preserve">; bổ sung </w:t>
      </w:r>
      <w:r w:rsidRPr="007226D2">
        <w:rPr>
          <w:lang w:val="pt-BR"/>
        </w:rPr>
        <w:t xml:space="preserve">quy định trách nhiệm của các bộ thực hiện một số hoạt động về quản lý, sử dụng hóa chất cụ thể; </w:t>
      </w:r>
      <w:r w:rsidRPr="007226D2">
        <w:t>đánh giá nội dung phân cấp cho Ủy ban nhân dân cấp tỉnh để đảm bảo tính khả thi.</w:t>
      </w:r>
    </w:p>
    <w:p w:rsidR="00344E28" w:rsidRPr="0076045F" w:rsidRDefault="00344E28" w:rsidP="00344E28">
      <w:pPr>
        <w:tabs>
          <w:tab w:val="left" w:pos="720"/>
        </w:tabs>
        <w:spacing w:before="120" w:after="120"/>
        <w:ind w:firstLine="567"/>
        <w:jc w:val="both"/>
        <w:rPr>
          <w:color w:val="000000"/>
          <w:spacing w:val="6"/>
        </w:rPr>
      </w:pPr>
      <w:r w:rsidRPr="005C7858">
        <w:rPr>
          <w:bCs/>
          <w:i/>
        </w:rPr>
        <w:t>Bên cạnh các nội dung trên,</w:t>
      </w:r>
      <w:r>
        <w:rPr>
          <w:b/>
          <w:bCs/>
        </w:rPr>
        <w:t xml:space="preserve"> </w:t>
      </w:r>
      <w:r w:rsidRPr="005C7858">
        <w:rPr>
          <w:bCs/>
        </w:rPr>
        <w:t>Ủy ban KH,CN&amp;MT đ</w:t>
      </w:r>
      <w:r w:rsidRPr="00484549">
        <w:rPr>
          <w:spacing w:val="-4"/>
          <w:lang w:val="pt-BR"/>
        </w:rPr>
        <w:t xml:space="preserve">ề </w:t>
      </w:r>
      <w:r w:rsidRPr="00EF53BB">
        <w:rPr>
          <w:bCs/>
        </w:rPr>
        <w:t>nghị</w:t>
      </w:r>
      <w:r w:rsidRPr="00484549">
        <w:rPr>
          <w:spacing w:val="-4"/>
          <w:lang w:val="pt-BR"/>
        </w:rPr>
        <w:t xml:space="preserve"> </w:t>
      </w:r>
      <w:r>
        <w:rPr>
          <w:spacing w:val="-4"/>
          <w:lang w:val="pt-BR"/>
        </w:rPr>
        <w:t xml:space="preserve">rà soát các thủ tục hành chính (quy định tại các </w:t>
      </w:r>
      <w:r w:rsidRPr="005C7858">
        <w:rPr>
          <w:lang w:val="pt-BR"/>
        </w:rPr>
        <w:t>Điều 24</w:t>
      </w:r>
      <w:r>
        <w:rPr>
          <w:lang w:val="pt-BR"/>
        </w:rPr>
        <w:t xml:space="preserve">, </w:t>
      </w:r>
      <w:r w:rsidRPr="005C7858">
        <w:rPr>
          <w:lang w:val="pt-BR"/>
        </w:rPr>
        <w:t>25</w:t>
      </w:r>
      <w:r>
        <w:rPr>
          <w:lang w:val="pt-BR"/>
        </w:rPr>
        <w:t xml:space="preserve">, </w:t>
      </w:r>
      <w:r w:rsidRPr="005C7858">
        <w:rPr>
          <w:lang w:val="pt-BR"/>
        </w:rPr>
        <w:t>31</w:t>
      </w:r>
      <w:r>
        <w:rPr>
          <w:lang w:val="pt-BR"/>
        </w:rPr>
        <w:t xml:space="preserve">, </w:t>
      </w:r>
      <w:r w:rsidRPr="005C7858">
        <w:rPr>
          <w:lang w:val="pt-BR"/>
        </w:rPr>
        <w:t>32</w:t>
      </w:r>
      <w:r>
        <w:rPr>
          <w:lang w:val="pt-BR"/>
        </w:rPr>
        <w:t xml:space="preserve">, </w:t>
      </w:r>
      <w:r w:rsidRPr="005C7858">
        <w:rPr>
          <w:lang w:val="pt-BR"/>
        </w:rPr>
        <w:t>34</w:t>
      </w:r>
      <w:r>
        <w:rPr>
          <w:lang w:val="pt-BR"/>
        </w:rPr>
        <w:t xml:space="preserve"> và</w:t>
      </w:r>
      <w:r w:rsidRPr="005C7858">
        <w:rPr>
          <w:lang w:val="pt-BR"/>
        </w:rPr>
        <w:t xml:space="preserve"> 38</w:t>
      </w:r>
      <w:r>
        <w:rPr>
          <w:lang w:val="pt-BR"/>
        </w:rPr>
        <w:t>...)</w:t>
      </w:r>
      <w:r>
        <w:rPr>
          <w:spacing w:val="-4"/>
          <w:lang w:val="pt-BR"/>
        </w:rPr>
        <w:t xml:space="preserve"> </w:t>
      </w:r>
      <w:r>
        <w:rPr>
          <w:lang w:val="pt-BR"/>
        </w:rPr>
        <w:t>để</w:t>
      </w:r>
      <w:r>
        <w:rPr>
          <w:spacing w:val="-4"/>
          <w:lang w:val="pt-BR"/>
        </w:rPr>
        <w:t xml:space="preserve"> </w:t>
      </w:r>
      <w:r w:rsidRPr="004B5379">
        <w:rPr>
          <w:spacing w:val="-2"/>
          <w:lang w:val="vi-VN"/>
        </w:rPr>
        <w:t>cắt giảm</w:t>
      </w:r>
      <w:r w:rsidRPr="004B5379">
        <w:t xml:space="preserve"> </w:t>
      </w:r>
      <w:r>
        <w:t>các</w:t>
      </w:r>
      <w:r>
        <w:rPr>
          <w:spacing w:val="-2"/>
        </w:rPr>
        <w:t xml:space="preserve"> thủ tục hành chính </w:t>
      </w:r>
      <w:r w:rsidRPr="004B5379">
        <w:rPr>
          <w:spacing w:val="-2"/>
          <w:lang w:val="vi-VN"/>
        </w:rPr>
        <w:t>không cần thiết</w:t>
      </w:r>
      <w:r>
        <w:rPr>
          <w:spacing w:val="-2"/>
        </w:rPr>
        <w:t xml:space="preserve">. </w:t>
      </w:r>
      <w:r>
        <w:rPr>
          <w:color w:val="000000"/>
          <w:spacing w:val="2"/>
        </w:rPr>
        <w:t>Đề nghị bổ sung</w:t>
      </w:r>
      <w:r w:rsidRPr="00B006FC">
        <w:rPr>
          <w:color w:val="000000"/>
          <w:spacing w:val="2"/>
        </w:rPr>
        <w:t xml:space="preserve"> quy định </w:t>
      </w:r>
      <w:r>
        <w:rPr>
          <w:color w:val="000000"/>
          <w:spacing w:val="2"/>
        </w:rPr>
        <w:t xml:space="preserve">về một số nội dung chuyển </w:t>
      </w:r>
      <w:r w:rsidRPr="0076045F">
        <w:rPr>
          <w:color w:val="000000"/>
          <w:spacing w:val="6"/>
        </w:rPr>
        <w:t>tiếp</w:t>
      </w:r>
      <w:r w:rsidRPr="0076045F">
        <w:rPr>
          <w:spacing w:val="6"/>
        </w:rPr>
        <w:t xml:space="preserve"> để phù hợp với Luật Đầu tư, rà soát tránh bỏ sót các trường hợp cần chuyển tiếp. </w:t>
      </w:r>
    </w:p>
    <w:p w:rsidR="00344E28" w:rsidRPr="00EF53BB" w:rsidRDefault="00344E28" w:rsidP="00344E28">
      <w:pPr>
        <w:tabs>
          <w:tab w:val="left" w:pos="720"/>
        </w:tabs>
        <w:spacing w:before="200" w:after="20"/>
        <w:ind w:firstLine="567"/>
        <w:jc w:val="both"/>
        <w:rPr>
          <w:b/>
          <w:bCs/>
          <w:sz w:val="26"/>
        </w:rPr>
      </w:pPr>
      <w:r w:rsidRPr="00EF53BB">
        <w:rPr>
          <w:b/>
          <w:bCs/>
          <w:sz w:val="26"/>
        </w:rPr>
        <w:lastRenderedPageBreak/>
        <w:t>III. </w:t>
      </w:r>
      <w:r>
        <w:rPr>
          <w:b/>
          <w:bCs/>
          <w:sz w:val="26"/>
        </w:rPr>
        <w:t>MỘT SỐ VẤN ĐỀ CẦN TẬP TRUNG THẢO LUẬN</w:t>
      </w:r>
    </w:p>
    <w:p w:rsidR="00344E28" w:rsidRDefault="00344E28" w:rsidP="00344E28">
      <w:pPr>
        <w:tabs>
          <w:tab w:val="left" w:pos="720"/>
        </w:tabs>
        <w:spacing w:before="100" w:after="20"/>
        <w:ind w:firstLine="567"/>
        <w:jc w:val="both"/>
        <w:rPr>
          <w:iCs/>
          <w:spacing w:val="-2"/>
          <w:lang w:val="pt-BR"/>
        </w:rPr>
      </w:pPr>
      <w:r w:rsidRPr="00D22917">
        <w:rPr>
          <w:iCs/>
          <w:spacing w:val="-2"/>
          <w:lang w:val="pt-BR"/>
        </w:rPr>
        <w:t xml:space="preserve">Ủy ban KH,CN&amp;MT đề xuất một số nội dung đề nghị các vị đại biểu Quốc hội tập trung thảo luận như sau: (1) </w:t>
      </w:r>
      <w:r>
        <w:rPr>
          <w:iCs/>
          <w:spacing w:val="-2"/>
          <w:lang w:val="pt-BR"/>
        </w:rPr>
        <w:t>T</w:t>
      </w:r>
      <w:r w:rsidRPr="00EF53BB">
        <w:rPr>
          <w:rFonts w:hint="eastAsia"/>
          <w:iCs/>
          <w:spacing w:val="-2"/>
          <w:lang w:val="pt-BR"/>
        </w:rPr>
        <w:t>ê</w:t>
      </w:r>
      <w:r w:rsidRPr="00EF53BB">
        <w:rPr>
          <w:iCs/>
          <w:spacing w:val="-2"/>
          <w:lang w:val="pt-BR"/>
        </w:rPr>
        <w:t>n gọi v</w:t>
      </w:r>
      <w:r w:rsidRPr="00EF53BB">
        <w:rPr>
          <w:rFonts w:hint="eastAsia"/>
          <w:iCs/>
          <w:spacing w:val="-2"/>
          <w:lang w:val="pt-BR"/>
        </w:rPr>
        <w:t>à</w:t>
      </w:r>
      <w:r w:rsidRPr="00EF53BB">
        <w:rPr>
          <w:iCs/>
          <w:spacing w:val="-2"/>
          <w:lang w:val="pt-BR"/>
        </w:rPr>
        <w:t xml:space="preserve"> phạm vi </w:t>
      </w:r>
      <w:r w:rsidRPr="00EF53BB">
        <w:rPr>
          <w:rFonts w:hint="eastAsia"/>
          <w:iCs/>
          <w:spacing w:val="-2"/>
          <w:lang w:val="pt-BR"/>
        </w:rPr>
        <w:t>đ</w:t>
      </w:r>
      <w:r w:rsidRPr="00EF53BB">
        <w:rPr>
          <w:iCs/>
          <w:spacing w:val="-2"/>
          <w:lang w:val="pt-BR"/>
        </w:rPr>
        <w:t xml:space="preserve">iều chỉnh, </w:t>
      </w:r>
      <w:r w:rsidRPr="00EF53BB">
        <w:rPr>
          <w:rFonts w:hint="eastAsia"/>
          <w:iCs/>
          <w:spacing w:val="-2"/>
          <w:lang w:val="pt-BR"/>
        </w:rPr>
        <w:t>á</w:t>
      </w:r>
      <w:r w:rsidRPr="00EF53BB">
        <w:rPr>
          <w:iCs/>
          <w:spacing w:val="-2"/>
          <w:lang w:val="pt-BR"/>
        </w:rPr>
        <w:t>p dụng ph</w:t>
      </w:r>
      <w:r w:rsidRPr="00EF53BB">
        <w:rPr>
          <w:rFonts w:hint="eastAsia"/>
          <w:iCs/>
          <w:spacing w:val="-2"/>
          <w:lang w:val="pt-BR"/>
        </w:rPr>
        <w:t>á</w:t>
      </w:r>
      <w:r w:rsidRPr="00EF53BB">
        <w:rPr>
          <w:iCs/>
          <w:spacing w:val="-2"/>
          <w:lang w:val="pt-BR"/>
        </w:rPr>
        <w:t>p luật</w:t>
      </w:r>
      <w:r>
        <w:rPr>
          <w:iCs/>
          <w:spacing w:val="-2"/>
          <w:lang w:val="pt-BR"/>
        </w:rPr>
        <w:t>; (2) C</w:t>
      </w:r>
      <w:r w:rsidRPr="00EF53BB">
        <w:rPr>
          <w:iCs/>
          <w:spacing w:val="-2"/>
          <w:lang w:val="pt-BR"/>
        </w:rPr>
        <w:t xml:space="preserve">hính sách của Nhà nước </w:t>
      </w:r>
      <w:r>
        <w:rPr>
          <w:iCs/>
          <w:spacing w:val="-2"/>
          <w:lang w:val="pt-BR"/>
        </w:rPr>
        <w:t>trong lĩnh vực hóa chất; (3) P</w:t>
      </w:r>
      <w:r w:rsidRPr="00EF53BB">
        <w:rPr>
          <w:iCs/>
          <w:spacing w:val="-2"/>
          <w:lang w:val="pt-BR"/>
        </w:rPr>
        <w:t>hát triển công nghiệp hóa chất</w:t>
      </w:r>
      <w:r>
        <w:rPr>
          <w:iCs/>
          <w:spacing w:val="-2"/>
          <w:lang w:val="pt-BR"/>
        </w:rPr>
        <w:t>; (4) Q</w:t>
      </w:r>
      <w:r w:rsidRPr="00EF53BB">
        <w:rPr>
          <w:iCs/>
          <w:spacing w:val="-2"/>
          <w:lang w:val="pt-BR"/>
        </w:rPr>
        <w:t>uản lý</w:t>
      </w:r>
      <w:r>
        <w:rPr>
          <w:iCs/>
          <w:spacing w:val="-2"/>
          <w:lang w:val="pt-BR"/>
        </w:rPr>
        <w:t xml:space="preserve"> hoạt động hóa chất; (5) H</w:t>
      </w:r>
      <w:r w:rsidRPr="00EF53BB">
        <w:rPr>
          <w:iCs/>
          <w:spacing w:val="-2"/>
          <w:lang w:val="pt-BR"/>
        </w:rPr>
        <w:t>óa chất nguy hiểm trong sản phẩm hàng hóa</w:t>
      </w:r>
      <w:r>
        <w:rPr>
          <w:iCs/>
          <w:spacing w:val="-2"/>
          <w:lang w:val="pt-BR"/>
        </w:rPr>
        <w:t>; (6) An toàn hóa chất; (7) Q</w:t>
      </w:r>
      <w:r w:rsidRPr="00EF53BB">
        <w:rPr>
          <w:iCs/>
          <w:spacing w:val="-2"/>
          <w:lang w:val="pt-BR"/>
        </w:rPr>
        <w:t>uản lý nhà nước về hóa chất</w:t>
      </w:r>
      <w:r>
        <w:rPr>
          <w:iCs/>
          <w:spacing w:val="-2"/>
          <w:lang w:val="pt-BR"/>
        </w:rPr>
        <w:t>; (8) T</w:t>
      </w:r>
      <w:r w:rsidRPr="00EF53BB">
        <w:rPr>
          <w:iCs/>
          <w:spacing w:val="-2"/>
          <w:lang w:val="pt-BR"/>
        </w:rPr>
        <w:t>hủ tục hành chính</w:t>
      </w:r>
      <w:r>
        <w:rPr>
          <w:iCs/>
          <w:spacing w:val="-2"/>
          <w:lang w:val="pt-BR"/>
        </w:rPr>
        <w:t>, đ</w:t>
      </w:r>
      <w:r w:rsidRPr="00EF53BB">
        <w:rPr>
          <w:iCs/>
          <w:spacing w:val="-2"/>
          <w:lang w:val="pt-BR"/>
        </w:rPr>
        <w:t>iều khoản chuyển tiếp</w:t>
      </w:r>
      <w:r>
        <w:rPr>
          <w:iCs/>
          <w:spacing w:val="-2"/>
          <w:lang w:val="pt-BR"/>
        </w:rPr>
        <w:t>.</w:t>
      </w:r>
    </w:p>
    <w:p w:rsidR="00344E28" w:rsidRPr="00EF53BB" w:rsidRDefault="00344E28" w:rsidP="00344E28">
      <w:pPr>
        <w:pBdr>
          <w:top w:val="none" w:sz="0" w:space="0" w:color="000000"/>
          <w:left w:val="none" w:sz="0" w:space="0" w:color="000000"/>
          <w:bottom w:val="none" w:sz="0" w:space="9" w:color="000000"/>
          <w:right w:val="none" w:sz="0" w:space="0" w:color="000000"/>
          <w:between w:val="none" w:sz="0" w:space="0" w:color="000000"/>
        </w:pBdr>
        <w:overflowPunct w:val="0"/>
        <w:spacing w:before="100" w:after="20"/>
        <w:ind w:firstLine="567"/>
        <w:jc w:val="both"/>
        <w:textAlignment w:val="baseline"/>
      </w:pPr>
      <w:r w:rsidRPr="000348A7">
        <w:rPr>
          <w:spacing w:val="-2"/>
          <w:lang w:val="vi-VN"/>
        </w:rPr>
        <w:t xml:space="preserve">Trên đây là </w:t>
      </w:r>
      <w:r w:rsidRPr="00D22917">
        <w:rPr>
          <w:iCs/>
          <w:spacing w:val="-2"/>
          <w:lang w:val="pt-BR"/>
        </w:rPr>
        <w:t xml:space="preserve">Báo cáo </w:t>
      </w:r>
      <w:r w:rsidRPr="000348A7">
        <w:rPr>
          <w:spacing w:val="-2"/>
        </w:rPr>
        <w:t>tóm tắt</w:t>
      </w:r>
      <w:r>
        <w:rPr>
          <w:spacing w:val="-2"/>
        </w:rPr>
        <w:t xml:space="preserve"> </w:t>
      </w:r>
      <w:r w:rsidRPr="000348A7">
        <w:rPr>
          <w:spacing w:val="-2"/>
          <w:lang w:val="vi-VN"/>
        </w:rPr>
        <w:t xml:space="preserve">thẩm tra dự án Luật </w:t>
      </w:r>
      <w:r>
        <w:rPr>
          <w:spacing w:val="-2"/>
        </w:rPr>
        <w:t>Hóa chất (sửa đổi)</w:t>
      </w:r>
      <w:r w:rsidRPr="000348A7">
        <w:rPr>
          <w:spacing w:val="-2"/>
          <w:lang w:val="vi-VN"/>
        </w:rPr>
        <w:t>,</w:t>
      </w:r>
      <w:r w:rsidRPr="000348A7">
        <w:rPr>
          <w:lang w:val="en-GB"/>
        </w:rPr>
        <w:t xml:space="preserve"> </w:t>
      </w:r>
      <w:r w:rsidRPr="00D22917">
        <w:rPr>
          <w:lang w:val="en-GB"/>
        </w:rPr>
        <w:t>kính trình Quốc hội xem xét, cho ý kiến</w:t>
      </w:r>
      <w:r w:rsidRPr="000348A7">
        <w:rPr>
          <w:lang w:val="en-GB"/>
        </w:rPr>
        <w:t>./.</w:t>
      </w:r>
    </w:p>
    <w:p w:rsidR="00344E28" w:rsidRPr="000348A7" w:rsidRDefault="00344E28" w:rsidP="00344E28">
      <w:pPr>
        <w:ind w:left="2160" w:firstLine="720"/>
        <w:jc w:val="center"/>
      </w:pPr>
      <w:r w:rsidRPr="000348A7">
        <w:rPr>
          <w:b/>
          <w:bCs/>
          <w:sz w:val="24"/>
          <w:lang w:val="en-GB"/>
        </w:rPr>
        <w:t xml:space="preserve">    </w:t>
      </w:r>
      <w:r>
        <w:rPr>
          <w:b/>
          <w:bCs/>
          <w:sz w:val="24"/>
          <w:lang w:val="en-GB"/>
        </w:rPr>
        <w:tab/>
      </w:r>
      <w:r>
        <w:rPr>
          <w:b/>
          <w:bCs/>
          <w:sz w:val="24"/>
          <w:lang w:val="en-GB"/>
        </w:rPr>
        <w:tab/>
      </w:r>
      <w:r>
        <w:rPr>
          <w:b/>
          <w:bCs/>
          <w:sz w:val="24"/>
          <w:lang w:val="en-GB"/>
        </w:rPr>
        <w:tab/>
      </w:r>
      <w:r w:rsidRPr="000348A7">
        <w:rPr>
          <w:b/>
          <w:bCs/>
          <w:sz w:val="24"/>
          <w:lang w:val="en-GB"/>
        </w:rPr>
        <w:t>ỦY BAN KH,CN&amp;MT</w:t>
      </w:r>
    </w:p>
    <w:p w:rsidR="00F65E36" w:rsidRDefault="00F65E36">
      <w:bookmarkStart w:id="0" w:name="_GoBack"/>
      <w:bookmarkEnd w:id="0"/>
    </w:p>
    <w:sectPr w:rsidR="00F65E36" w:rsidSect="00EF53BB">
      <w:headerReference w:type="default" r:id="rId8"/>
      <w:headerReference w:type="first" r:id="rId9"/>
      <w:pgSz w:w="11907" w:h="16840" w:code="9"/>
      <w:pgMar w:top="1134" w:right="1021" w:bottom="1134" w:left="1531" w:header="51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567" w:rsidRDefault="004F0567" w:rsidP="00344E28">
      <w:r>
        <w:separator/>
      </w:r>
    </w:p>
  </w:endnote>
  <w:endnote w:type="continuationSeparator" w:id="0">
    <w:p w:rsidR="004F0567" w:rsidRDefault="004F0567" w:rsidP="003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567" w:rsidRDefault="004F0567" w:rsidP="00344E28">
      <w:r>
        <w:separator/>
      </w:r>
    </w:p>
  </w:footnote>
  <w:footnote w:type="continuationSeparator" w:id="0">
    <w:p w:rsidR="004F0567" w:rsidRDefault="004F0567" w:rsidP="00344E28">
      <w:r>
        <w:continuationSeparator/>
      </w:r>
    </w:p>
  </w:footnote>
  <w:footnote w:id="1">
    <w:p w:rsidR="00344E28" w:rsidRPr="005C7858" w:rsidRDefault="00344E28" w:rsidP="00344E28">
      <w:pPr>
        <w:pStyle w:val="FootnoteText"/>
        <w:jc w:val="both"/>
        <w:rPr>
          <w:rFonts w:ascii="Times New Roman" w:hAnsi="Times New Roman"/>
          <w:lang w:val="en-GB"/>
        </w:rPr>
      </w:pPr>
      <w:r w:rsidRPr="005C7858">
        <w:rPr>
          <w:rStyle w:val="FootnoteReference"/>
          <w:rFonts w:ascii="Times New Roman" w:hAnsi="Times New Roman"/>
        </w:rPr>
        <w:footnoteRef/>
      </w:r>
      <w:r w:rsidRPr="005C7858">
        <w:rPr>
          <w:rFonts w:ascii="Times New Roman" w:hAnsi="Times New Roman"/>
        </w:rPr>
        <w:t xml:space="preserve"> </w:t>
      </w:r>
      <w:r w:rsidRPr="005C7858">
        <w:rPr>
          <w:rFonts w:ascii="Times New Roman" w:hAnsi="Times New Roman"/>
          <w:spacing w:val="-2"/>
          <w:lang w:val="en-GB"/>
        </w:rPr>
        <w:t>Kết luận số 36-KL/TW ngày 23/6/2022 của Bộ Chính trị về bảo đảm an ninh nguồn nước và an toàn đập, hồ chứa nước đến năm 2030, tầm nhìn đến năm 2045.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6B1" w:rsidRPr="008B78EF" w:rsidRDefault="004F0567" w:rsidP="008B78EF">
    <w:pPr>
      <w:pStyle w:val="Header"/>
      <w:jc w:val="center"/>
      <w:rPr>
        <w:sz w:val="24"/>
        <w:szCs w:val="24"/>
      </w:rPr>
    </w:pPr>
    <w:r w:rsidRPr="008B78EF">
      <w:rPr>
        <w:sz w:val="24"/>
        <w:szCs w:val="24"/>
      </w:rPr>
      <w:fldChar w:fldCharType="begin"/>
    </w:r>
    <w:r w:rsidRPr="008B78EF">
      <w:rPr>
        <w:sz w:val="24"/>
        <w:szCs w:val="24"/>
      </w:rPr>
      <w:instrText xml:space="preserve"> PAGE   \* MERGEFORMAT </w:instrText>
    </w:r>
    <w:r w:rsidRPr="008B78EF">
      <w:rPr>
        <w:sz w:val="24"/>
        <w:szCs w:val="24"/>
      </w:rPr>
      <w:fldChar w:fldCharType="separate"/>
    </w:r>
    <w:r>
      <w:rPr>
        <w:noProof/>
        <w:sz w:val="24"/>
        <w:szCs w:val="24"/>
      </w:rPr>
      <w:t>2</w:t>
    </w:r>
    <w:r w:rsidRPr="008B78EF">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6B1" w:rsidRDefault="004F0567">
    <w:pPr>
      <w:pStyle w:val="Header"/>
      <w:jc w:val="center"/>
    </w:pPr>
  </w:p>
  <w:p w:rsidR="000516B1" w:rsidRDefault="004F0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56CF5"/>
    <w:multiLevelType w:val="multilevel"/>
    <w:tmpl w:val="23CED73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E28"/>
    <w:rsid w:val="00344E28"/>
    <w:rsid w:val="004F0567"/>
    <w:rsid w:val="00B01B2E"/>
    <w:rsid w:val="00DB10D9"/>
    <w:rsid w:val="00F6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10686-61EA-4F51-9FC7-5CEB1ADC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E28"/>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E FNZ,Bla"/>
    <w:link w:val="CarattereCarattereCharCharCharCharCharCharZchn"/>
    <w:uiPriority w:val="99"/>
    <w:qFormat/>
    <w:rsid w:val="00344E28"/>
    <w:rPr>
      <w:rFonts w:cs="Times New Roman"/>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qFormat/>
    <w:rsid w:val="00344E28"/>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344E28"/>
    <w:rPr>
      <w:rFonts w:ascii="Calibri" w:eastAsia="Calibri" w:hAnsi="Calibri" w:cs="Times New Roman"/>
      <w:sz w:val="20"/>
      <w:szCs w:val="20"/>
      <w:lang w:val="en-US"/>
    </w:rPr>
  </w:style>
  <w:style w:type="paragraph" w:customStyle="1" w:styleId="n-dieund-p">
    <w:name w:val="n-dieund-p"/>
    <w:basedOn w:val="Normal"/>
    <w:uiPriority w:val="99"/>
    <w:rsid w:val="00344E28"/>
    <w:pPr>
      <w:jc w:val="both"/>
    </w:pPr>
    <w:rPr>
      <w:sz w:val="20"/>
      <w:szCs w:val="20"/>
    </w:rPr>
  </w:style>
  <w:style w:type="paragraph" w:styleId="BodyText">
    <w:name w:val="Body Text"/>
    <w:basedOn w:val="Normal"/>
    <w:link w:val="BodyTextChar"/>
    <w:rsid w:val="00344E28"/>
    <w:pPr>
      <w:spacing w:before="120" w:after="120"/>
      <w:ind w:firstLine="567"/>
      <w:jc w:val="both"/>
    </w:pPr>
    <w:rPr>
      <w:rFonts w:eastAsia="Calibri"/>
      <w:noProof/>
      <w:szCs w:val="22"/>
      <w:lang w:val="vi-VN"/>
    </w:rPr>
  </w:style>
  <w:style w:type="character" w:customStyle="1" w:styleId="BodyTextChar">
    <w:name w:val="Body Text Char"/>
    <w:basedOn w:val="DefaultParagraphFont"/>
    <w:link w:val="BodyText"/>
    <w:rsid w:val="00344E28"/>
    <w:rPr>
      <w:rFonts w:ascii="Times New Roman" w:eastAsia="Calibri" w:hAnsi="Times New Roman" w:cs="Times New Roman"/>
      <w:noProof/>
      <w:sz w:val="28"/>
      <w:lang w:val="vi-VN"/>
    </w:rPr>
  </w:style>
  <w:style w:type="paragraph" w:styleId="Header">
    <w:name w:val="header"/>
    <w:basedOn w:val="Normal"/>
    <w:link w:val="HeaderChar"/>
    <w:uiPriority w:val="99"/>
    <w:unhideWhenUsed/>
    <w:rsid w:val="00344E28"/>
    <w:pPr>
      <w:tabs>
        <w:tab w:val="center" w:pos="4680"/>
        <w:tab w:val="right" w:pos="9360"/>
      </w:tabs>
    </w:pPr>
  </w:style>
  <w:style w:type="character" w:customStyle="1" w:styleId="HeaderChar">
    <w:name w:val="Header Char"/>
    <w:basedOn w:val="DefaultParagraphFont"/>
    <w:link w:val="Header"/>
    <w:uiPriority w:val="99"/>
    <w:rsid w:val="00344E28"/>
    <w:rPr>
      <w:rFonts w:ascii="Times New Roman" w:eastAsia="Times New Roman" w:hAnsi="Times New Roman" w:cs="Times New Roman"/>
      <w:sz w:val="28"/>
      <w:szCs w:val="28"/>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344E28"/>
    <w:pPr>
      <w:spacing w:after="160" w:line="240" w:lineRule="exact"/>
    </w:pPr>
    <w:rPr>
      <w:rFonts w:asciiTheme="minorHAnsi" w:eastAsiaTheme="minorHAnsi" w:hAnsiTheme="minorHAnsi"/>
      <w:sz w:val="22"/>
      <w:szCs w:val="22"/>
      <w:vertAlign w:val="superscript"/>
      <w:lang w:val="en-GB"/>
    </w:rPr>
  </w:style>
  <w:style w:type="character" w:customStyle="1" w:styleId="normal-h">
    <w:name w:val="normal-h"/>
    <w:rsid w:val="0034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Tai-nguyen-Moi-truong/Luat-so-72-2020-QH14-Bao-ve-moi-truong-2020-431147.aspx"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3ABFE-1685-4450-B832-854D0E8ABB95}"/>
</file>

<file path=customXml/itemProps2.xml><?xml version="1.0" encoding="utf-8"?>
<ds:datastoreItem xmlns:ds="http://schemas.openxmlformats.org/officeDocument/2006/customXml" ds:itemID="{7E0AF0EB-06C7-4A45-8289-BC21F8D20D71}"/>
</file>

<file path=customXml/itemProps3.xml><?xml version="1.0" encoding="utf-8"?>
<ds:datastoreItem xmlns:ds="http://schemas.openxmlformats.org/officeDocument/2006/customXml" ds:itemID="{C0FC9465-1F12-4784-8551-0116388B82A8}"/>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7175</Characters>
  <Application>Microsoft Office Word</Application>
  <DocSecurity>0</DocSecurity>
  <Lines>59</Lines>
  <Paragraphs>16</Paragraphs>
  <ScaleCrop>false</ScaleCrop>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2024-10-12T09:42:00Z</dcterms:created>
  <dcterms:modified xsi:type="dcterms:W3CDTF">2024-10-12T09:42:00Z</dcterms:modified>
</cp:coreProperties>
</file>